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6BA6" w14:textId="77777777" w:rsidR="00A8569D" w:rsidRDefault="00A8569D" w:rsidP="00624552">
      <w:pPr>
        <w:spacing w:after="0"/>
      </w:pPr>
    </w:p>
    <w:p w14:paraId="606A90AD" w14:textId="2C997FF2" w:rsidR="009D4845" w:rsidRPr="009D4845" w:rsidRDefault="009D4845" w:rsidP="00624552">
      <w:pPr>
        <w:spacing w:after="0"/>
      </w:pPr>
      <w:r>
        <w:rPr>
          <w:b/>
          <w:bCs/>
        </w:rPr>
        <w:t>Process:</w:t>
      </w:r>
      <w:r w:rsidR="0054346C">
        <w:rPr>
          <w:b/>
          <w:bCs/>
        </w:rPr>
        <w:t xml:space="preserve"> Accounts Receivable and Billing (Non-</w:t>
      </w:r>
      <w:r w:rsidR="000B4B42">
        <w:rPr>
          <w:b/>
          <w:bCs/>
        </w:rPr>
        <w:t>Bursar</w:t>
      </w:r>
      <w:r w:rsidR="0054346C">
        <w:rPr>
          <w:b/>
          <w:bCs/>
        </w:rPr>
        <w:t xml:space="preserve"> Billing)</w:t>
      </w:r>
    </w:p>
    <w:p w14:paraId="733D20B9" w14:textId="29B81E3C" w:rsidR="0061408D" w:rsidRDefault="0061408D" w:rsidP="00566B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/>
      </w:pPr>
      <w:r w:rsidRPr="00B1486B">
        <w:rPr>
          <w:b/>
        </w:rPr>
        <w:t>Date Created:</w:t>
      </w:r>
      <w:r>
        <w:tab/>
      </w:r>
      <w:sdt>
        <w:sdtPr>
          <w:id w:val="15725001"/>
          <w:placeholder>
            <w:docPart w:val="8A58D5F589314DE9A0FF4F407FE3E912"/>
          </w:placeholder>
          <w:date w:fullDate="2024-04-17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54346C">
            <w:t>April 17, 2024</w:t>
          </w:r>
        </w:sdtContent>
      </w:sdt>
      <w:r w:rsidR="00566BB4">
        <w:tab/>
      </w:r>
      <w:r w:rsidR="00566BB4" w:rsidRPr="00B1486B">
        <w:rPr>
          <w:b/>
        </w:rPr>
        <w:t>Last Updated</w:t>
      </w:r>
      <w:r w:rsidRPr="00B1486B">
        <w:rPr>
          <w:b/>
        </w:rPr>
        <w:t>:</w:t>
      </w:r>
      <w:r w:rsidR="008F58E0">
        <w:rPr>
          <w:b/>
        </w:rPr>
        <w:t xml:space="preserve">   </w:t>
      </w:r>
      <w:sdt>
        <w:sdtPr>
          <w:id w:val="15725002"/>
          <w:placeholder>
            <w:docPart w:val="64506E8B1B4A4840ACCA9D7D8B7BD8B9"/>
          </w:placeholder>
          <w:date w:fullDate="2025-08-22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D30EF2">
            <w:t xml:space="preserve">August </w:t>
          </w:r>
          <w:r w:rsidR="0086443B">
            <w:t>22</w:t>
          </w:r>
          <w:r w:rsidR="007E414B">
            <w:t>, 202</w:t>
          </w:r>
          <w:r w:rsidR="00220D19">
            <w:t>5</w:t>
          </w:r>
        </w:sdtContent>
      </w:sdt>
    </w:p>
    <w:p w14:paraId="0B1D5E49" w14:textId="78A95D31" w:rsidR="00D5024A" w:rsidRDefault="00D5024A" w:rsidP="00D50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/>
      </w:pPr>
      <w:r w:rsidRPr="00B1486B">
        <w:rPr>
          <w:b/>
        </w:rPr>
        <w:t>Created</w:t>
      </w:r>
      <w:r>
        <w:rPr>
          <w:b/>
        </w:rPr>
        <w:t xml:space="preserve"> By</w:t>
      </w:r>
      <w:r w:rsidR="0054346C">
        <w:rPr>
          <w:b/>
        </w:rPr>
        <w:t xml:space="preserve">: </w:t>
      </w:r>
      <w:r w:rsidR="0054346C" w:rsidRPr="0054346C">
        <w:rPr>
          <w:bCs/>
        </w:rPr>
        <w:t xml:space="preserve">Hei </w:t>
      </w:r>
      <w:proofErr w:type="spellStart"/>
      <w:r w:rsidR="0054346C" w:rsidRPr="0054346C">
        <w:rPr>
          <w:bCs/>
        </w:rPr>
        <w:t>Hei</w:t>
      </w:r>
      <w:proofErr w:type="spellEnd"/>
      <w:r w:rsidR="0054346C" w:rsidRPr="0054346C">
        <w:rPr>
          <w:bCs/>
        </w:rPr>
        <w:t xml:space="preserve"> Depew</w:t>
      </w:r>
      <w:r w:rsidRPr="0054346C">
        <w:rPr>
          <w:bCs/>
        </w:rPr>
        <w:tab/>
      </w:r>
      <w:r>
        <w:tab/>
        <w:t xml:space="preserve">         </w:t>
      </w:r>
      <w:r>
        <w:rPr>
          <w:b/>
        </w:rPr>
        <w:t>Updated By</w:t>
      </w:r>
      <w:r w:rsidRPr="00B1486B">
        <w:rPr>
          <w:b/>
        </w:rPr>
        <w:t>:</w:t>
      </w:r>
      <w:r>
        <w:tab/>
      </w:r>
      <w:r w:rsidR="0054346C">
        <w:t xml:space="preserve">Hei </w:t>
      </w:r>
      <w:proofErr w:type="spellStart"/>
      <w:r w:rsidR="0054346C">
        <w:t>Hei</w:t>
      </w:r>
      <w:proofErr w:type="spellEnd"/>
      <w:r w:rsidR="0054346C">
        <w:t xml:space="preserve"> Depew</w:t>
      </w:r>
    </w:p>
    <w:p w14:paraId="00B6BA6A" w14:textId="77777777" w:rsidR="00566BB4" w:rsidRDefault="00566BB4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408D" w14:paraId="6ABA4704" w14:textId="77777777" w:rsidTr="0061408D">
        <w:tc>
          <w:tcPr>
            <w:tcW w:w="9576" w:type="dxa"/>
          </w:tcPr>
          <w:p w14:paraId="1CEE2769" w14:textId="2B687FD8" w:rsidR="004C5CE1" w:rsidRDefault="0061408D" w:rsidP="000B4B42">
            <w:r w:rsidRPr="004A5408">
              <w:rPr>
                <w:b/>
                <w:sz w:val="24"/>
                <w:szCs w:val="24"/>
              </w:rPr>
              <w:t>Overview</w:t>
            </w:r>
            <w:r>
              <w:t xml:space="preserve">: </w:t>
            </w:r>
            <w:r w:rsidR="000B4B42">
              <w:t>Non-Bursar</w:t>
            </w:r>
            <w:r w:rsidR="00777EC2">
              <w:t>,</w:t>
            </w:r>
            <w:r w:rsidR="00265A67">
              <w:t xml:space="preserve"> Non-Research,</w:t>
            </w:r>
            <w:r w:rsidR="00777EC2">
              <w:t xml:space="preserve"> Non-Medical</w:t>
            </w:r>
            <w:r w:rsidR="000B4B42">
              <w:t xml:space="preserve"> Billing for Goods or Services requires due diligence from:</w:t>
            </w:r>
          </w:p>
          <w:p w14:paraId="3605BAFF" w14:textId="69895B7D" w:rsidR="000B4B42" w:rsidRDefault="000B4B42" w:rsidP="000B4B42">
            <w:pPr>
              <w:pStyle w:val="ListParagraph"/>
              <w:numPr>
                <w:ilvl w:val="0"/>
                <w:numId w:val="4"/>
              </w:numPr>
            </w:pPr>
            <w:r>
              <w:t>Units:</w:t>
            </w:r>
            <w:r w:rsidR="0092698E">
              <w:t xml:space="preserve"> Managing </w:t>
            </w:r>
            <w:r w:rsidR="008F58E0">
              <w:t>p</w:t>
            </w:r>
            <w:r w:rsidR="0092698E">
              <w:t xml:space="preserve">rocess of invoice generation and </w:t>
            </w:r>
            <w:r w:rsidR="007833FE">
              <w:t>Managing/Monitoring</w:t>
            </w:r>
            <w:r w:rsidR="0092698E">
              <w:t xml:space="preserve"> Aging.</w:t>
            </w:r>
            <w:r w:rsidR="007833FE">
              <w:t xml:space="preserve"> Reconciling AR Billing from subsidiary system(s) to General Ledger.</w:t>
            </w:r>
            <w:r w:rsidR="008F58E0">
              <w:t xml:space="preserve"> Recording any necessary allowance for doubtful accounts and initiating the write-off process. </w:t>
            </w:r>
            <w:r w:rsidR="007833FE">
              <w:t xml:space="preserve"> </w:t>
            </w:r>
          </w:p>
          <w:p w14:paraId="14E38B53" w14:textId="12D1D6F2" w:rsidR="000B4B42" w:rsidRDefault="000B4B42" w:rsidP="000B4B42">
            <w:pPr>
              <w:pStyle w:val="ListParagraph"/>
              <w:numPr>
                <w:ilvl w:val="0"/>
                <w:numId w:val="4"/>
              </w:numPr>
            </w:pPr>
            <w:r>
              <w:t>SSC:</w:t>
            </w:r>
            <w:r w:rsidR="009F0B14">
              <w:t xml:space="preserve"> Where applicable</w:t>
            </w:r>
            <w:r>
              <w:t>, SSC will process payments against outstanding invoices.</w:t>
            </w:r>
            <w:r w:rsidR="00DB4A94">
              <w:t xml:space="preserve"> In addition, where appropriate</w:t>
            </w:r>
            <w:r w:rsidR="0086443B">
              <w:t>,</w:t>
            </w:r>
            <w:r w:rsidR="00DB4A94">
              <w:t xml:space="preserve"> the SSC </w:t>
            </w:r>
            <w:r w:rsidR="00DB4A94" w:rsidRPr="00DB4A94">
              <w:t>grant</w:t>
            </w:r>
            <w:r w:rsidR="00DB4A94">
              <w:t>s</w:t>
            </w:r>
            <w:r w:rsidR="00DB4A94" w:rsidRPr="00DB4A94">
              <w:t xml:space="preserve"> the SB role.</w:t>
            </w:r>
          </w:p>
          <w:p w14:paraId="7864BBF3" w14:textId="3BAD8D5E" w:rsidR="000B4B42" w:rsidRDefault="000B4B42" w:rsidP="000B4B42">
            <w:pPr>
              <w:pStyle w:val="ListParagraph"/>
              <w:numPr>
                <w:ilvl w:val="0"/>
                <w:numId w:val="4"/>
              </w:numPr>
            </w:pPr>
            <w:r>
              <w:t xml:space="preserve">Office of the Controller: </w:t>
            </w:r>
            <w:r w:rsidR="00D83BDB">
              <w:t>P</w:t>
            </w:r>
            <w:r>
              <w:t>rovide authorization for write-offs over 5K.</w:t>
            </w:r>
            <w:r w:rsidR="0042327B">
              <w:t xml:space="preserve"> </w:t>
            </w:r>
            <w:proofErr w:type="gramStart"/>
            <w:r w:rsidR="0042327B">
              <w:t>Provide assistance</w:t>
            </w:r>
            <w:proofErr w:type="gramEnd"/>
            <w:r w:rsidR="0042327B">
              <w:t xml:space="preserve"> on UBIT.</w:t>
            </w:r>
          </w:p>
          <w:p w14:paraId="4B8B6073" w14:textId="680FCFD7" w:rsidR="000B4B42" w:rsidRDefault="000B4B42" w:rsidP="000B4B42">
            <w:pPr>
              <w:pStyle w:val="ListParagraph"/>
              <w:numPr>
                <w:ilvl w:val="0"/>
                <w:numId w:val="4"/>
              </w:numPr>
            </w:pPr>
            <w:r>
              <w:t>Office of the Treasurer: Processes wire payments</w:t>
            </w:r>
            <w:r w:rsidR="007833FE">
              <w:t xml:space="preserve"> and payments to lockbox</w:t>
            </w:r>
          </w:p>
          <w:p w14:paraId="67414C73" w14:textId="516C16DA" w:rsidR="007E414B" w:rsidRDefault="007E414B" w:rsidP="000B4B42">
            <w:pPr>
              <w:pStyle w:val="ListParagraph"/>
              <w:numPr>
                <w:ilvl w:val="0"/>
                <w:numId w:val="4"/>
              </w:numPr>
            </w:pPr>
            <w:r>
              <w:t>University Budget Office: Oversees Fees for Int</w:t>
            </w:r>
            <w:r w:rsidR="00E05CEC">
              <w:t>ernal Users of Cornell Physical Space Policy</w:t>
            </w:r>
          </w:p>
          <w:p w14:paraId="6F855FD4" w14:textId="0DF2C895" w:rsidR="000B4B42" w:rsidRDefault="000B4B42" w:rsidP="000B4B42">
            <w:pPr>
              <w:pStyle w:val="ListParagraph"/>
            </w:pPr>
          </w:p>
        </w:tc>
      </w:tr>
    </w:tbl>
    <w:p w14:paraId="0743602A" w14:textId="77777777" w:rsidR="00624552" w:rsidRDefault="00624552" w:rsidP="00624552">
      <w:pPr>
        <w:spacing w:after="0"/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03659" w14:paraId="472699B7" w14:textId="77777777" w:rsidTr="00D03659">
        <w:tc>
          <w:tcPr>
            <w:tcW w:w="3192" w:type="dxa"/>
          </w:tcPr>
          <w:p w14:paraId="3ECCDA77" w14:textId="1C1E6738" w:rsidR="00D03659" w:rsidRDefault="00D03659" w:rsidP="00230DB4">
            <w:r w:rsidRPr="004A5408">
              <w:rPr>
                <w:b/>
                <w:sz w:val="24"/>
                <w:szCs w:val="24"/>
              </w:rPr>
              <w:t>Criticality</w:t>
            </w:r>
            <w:r>
              <w:t xml:space="preserve">:  </w:t>
            </w:r>
            <w:sdt>
              <w:sdtPr>
                <w:rPr>
                  <w:rStyle w:val="Style2"/>
                </w:rPr>
                <w:id w:val="15725045"/>
                <w:placeholder>
                  <w:docPart w:val="4A5E562D53034CAEB2CB07838516FBD1"/>
                </w:placeholder>
                <w:dropDownList>
                  <w:listItem w:value="Choose an item."/>
                  <w:listItem w:displayText="High" w:value="High"/>
                  <w:listItem w:displayText="Medium" w:value="Medium"/>
                  <w:listItem w:displayText="Low" w:value="Low"/>
                </w:dropDownList>
              </w:sdtPr>
              <w:sdtContent>
                <w:r w:rsidR="0054346C">
                  <w:rPr>
                    <w:rStyle w:val="Style2"/>
                  </w:rPr>
                  <w:t>High</w:t>
                </w:r>
              </w:sdtContent>
            </w:sdt>
          </w:p>
        </w:tc>
        <w:tc>
          <w:tcPr>
            <w:tcW w:w="3192" w:type="dxa"/>
          </w:tcPr>
          <w:p w14:paraId="53E5CB57" w14:textId="3D6A83A4" w:rsidR="00D03659" w:rsidRDefault="00D03659" w:rsidP="00230DB4">
            <w:r w:rsidRPr="004A5408">
              <w:rPr>
                <w:b/>
                <w:sz w:val="24"/>
                <w:szCs w:val="24"/>
              </w:rPr>
              <w:t>Frequency</w:t>
            </w:r>
            <w:r>
              <w:t xml:space="preserve">:  </w:t>
            </w:r>
            <w:sdt>
              <w:sdtPr>
                <w:rPr>
                  <w:rStyle w:val="Style2"/>
                </w:rPr>
                <w:id w:val="15725046"/>
                <w:placeholder>
                  <w:docPart w:val="BC9B305AC83F4EEB86993DFA597F64B6"/>
                </w:placeholder>
                <w:dropDownList>
                  <w:listItem w:value="Choose an item."/>
                  <w:listItem w:displayText="Daily" w:value="Daily"/>
                  <w:listItem w:displayText="Weekly" w:value="Weekly"/>
                  <w:listItem w:displayText="Monthly" w:value="Monthly"/>
                  <w:listItem w:displayText="Quarterly" w:value="Quarterly"/>
                  <w:listItem w:displayText="Semi-Annually" w:value="Semi-Annually"/>
                  <w:listItem w:displayText="Annually" w:value="Annually"/>
                  <w:listItem w:displayText="Other" w:value="Other"/>
                </w:dropDownList>
              </w:sdtPr>
              <w:sdtContent>
                <w:r w:rsidR="0054346C">
                  <w:rPr>
                    <w:rStyle w:val="Style2"/>
                  </w:rPr>
                  <w:t>Other</w:t>
                </w:r>
              </w:sdtContent>
            </w:sdt>
          </w:p>
        </w:tc>
        <w:tc>
          <w:tcPr>
            <w:tcW w:w="3192" w:type="dxa"/>
          </w:tcPr>
          <w:p w14:paraId="31B6A6B7" w14:textId="58F0AFC0" w:rsidR="00D03659" w:rsidRDefault="00D03659" w:rsidP="00230DB4">
            <w:r w:rsidRPr="004A5408">
              <w:rPr>
                <w:b/>
                <w:sz w:val="24"/>
                <w:szCs w:val="24"/>
              </w:rPr>
              <w:t>Turnaround</w:t>
            </w:r>
            <w:r>
              <w:t xml:space="preserve">:  </w:t>
            </w:r>
            <w:sdt>
              <w:sdtPr>
                <w:rPr>
                  <w:rStyle w:val="Style2"/>
                </w:rPr>
                <w:id w:val="15725048"/>
                <w:placeholder>
                  <w:docPart w:val="31351450CB8B4DB4A9B21BAD080C947B"/>
                </w:placeholder>
                <w:dropDownList>
                  <w:listItem w:value="Choose an item."/>
                  <w:listItem w:displayText="Same Day" w:value="Same Day"/>
                  <w:listItem w:displayText="Next Day" w:value="Next Day"/>
                  <w:listItem w:displayText="2 Days" w:value="2 Days"/>
                  <w:listItem w:displayText="3 days" w:value="3 days"/>
                  <w:listItem w:displayText="1 week" w:value="1 week"/>
                  <w:listItem w:displayText="Other" w:value="Other"/>
                </w:dropDownList>
              </w:sdtPr>
              <w:sdtContent>
                <w:r w:rsidR="0054346C">
                  <w:rPr>
                    <w:rStyle w:val="Style2"/>
                  </w:rPr>
                  <w:t>Other</w:t>
                </w:r>
              </w:sdtContent>
            </w:sdt>
          </w:p>
        </w:tc>
      </w:tr>
    </w:tbl>
    <w:p w14:paraId="2EE3D627" w14:textId="77777777" w:rsidR="00624552" w:rsidRDefault="00624552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550A" w14:paraId="62DABFCD" w14:textId="77777777" w:rsidTr="0094550A">
        <w:tc>
          <w:tcPr>
            <w:tcW w:w="9576" w:type="dxa"/>
          </w:tcPr>
          <w:p w14:paraId="759B5362" w14:textId="150DFE6E" w:rsidR="0094550A" w:rsidRDefault="00311529" w:rsidP="00624552">
            <w:r w:rsidRPr="00311529">
              <w:rPr>
                <w:b/>
                <w:sz w:val="24"/>
                <w:szCs w:val="24"/>
              </w:rPr>
              <w:t>Processing Time</w:t>
            </w:r>
            <w:proofErr w:type="gramStart"/>
            <w:r>
              <w:t xml:space="preserve">:  </w:t>
            </w:r>
            <w:r w:rsidR="0054346C">
              <w:t>Varies</w:t>
            </w:r>
            <w:proofErr w:type="gramEnd"/>
            <w:r w:rsidR="0054346C">
              <w:t xml:space="preserve"> by task and customer</w:t>
            </w:r>
          </w:p>
        </w:tc>
      </w:tr>
    </w:tbl>
    <w:p w14:paraId="7CFCF635" w14:textId="77777777" w:rsidR="0094550A" w:rsidRDefault="0094550A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4"/>
        <w:gridCol w:w="2927"/>
        <w:gridCol w:w="3169"/>
      </w:tblGrid>
      <w:tr w:rsidR="005433B6" w14:paraId="6FA2B15E" w14:textId="77777777" w:rsidTr="005433B6">
        <w:tc>
          <w:tcPr>
            <w:tcW w:w="3333" w:type="dxa"/>
          </w:tcPr>
          <w:p w14:paraId="0F7E4E30" w14:textId="0BC0EDD7" w:rsidR="005433B6" w:rsidRDefault="005433B6" w:rsidP="00624552">
            <w:r w:rsidRPr="005433B6">
              <w:rPr>
                <w:b/>
                <w:sz w:val="24"/>
                <w:szCs w:val="24"/>
              </w:rPr>
              <w:t>Start Date</w:t>
            </w:r>
            <w:r>
              <w:t xml:space="preserve">:  </w:t>
            </w:r>
            <w:r w:rsidR="0054346C">
              <w:t>As triggered</w:t>
            </w:r>
          </w:p>
        </w:tc>
        <w:tc>
          <w:tcPr>
            <w:tcW w:w="2988" w:type="dxa"/>
          </w:tcPr>
          <w:p w14:paraId="7B8A2F85" w14:textId="2AB8918B" w:rsidR="005433B6" w:rsidRPr="005433B6" w:rsidRDefault="005433B6" w:rsidP="00624552">
            <w:r>
              <w:rPr>
                <w:b/>
                <w:sz w:val="24"/>
                <w:szCs w:val="24"/>
              </w:rPr>
              <w:t>How Triggered</w:t>
            </w:r>
            <w:proofErr w:type="gramStart"/>
            <w:r>
              <w:rPr>
                <w:b/>
              </w:rPr>
              <w:t>:</w:t>
            </w:r>
            <w:r>
              <w:t xml:space="preserve">  </w:t>
            </w:r>
            <w:r w:rsidR="0054346C">
              <w:t>When</w:t>
            </w:r>
            <w:proofErr w:type="gramEnd"/>
            <w:r w:rsidR="0054346C">
              <w:t xml:space="preserve"> unit identifies the need to bill a customer for goods or services rendered.</w:t>
            </w:r>
          </w:p>
        </w:tc>
        <w:tc>
          <w:tcPr>
            <w:tcW w:w="3255" w:type="dxa"/>
          </w:tcPr>
          <w:p w14:paraId="7F4E0855" w14:textId="01B6AD04" w:rsidR="005433B6" w:rsidRDefault="005433B6" w:rsidP="00624552">
            <w:r w:rsidRPr="005433B6">
              <w:rPr>
                <w:b/>
                <w:sz w:val="24"/>
                <w:szCs w:val="24"/>
              </w:rPr>
              <w:t>Due Date</w:t>
            </w:r>
            <w:r>
              <w:t xml:space="preserve">:  </w:t>
            </w:r>
            <w:r w:rsidR="0054346C">
              <w:t>Other</w:t>
            </w:r>
          </w:p>
        </w:tc>
      </w:tr>
    </w:tbl>
    <w:p w14:paraId="4F7B532A" w14:textId="77777777" w:rsidR="005433B6" w:rsidRDefault="005433B6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5CE1" w14:paraId="2F92F28E" w14:textId="77777777" w:rsidTr="004C5CE1">
        <w:tc>
          <w:tcPr>
            <w:tcW w:w="9576" w:type="dxa"/>
          </w:tcPr>
          <w:p w14:paraId="49326160" w14:textId="77777777" w:rsidR="004C5CE1" w:rsidRPr="004C5CE1" w:rsidRDefault="00D5024A" w:rsidP="00624552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Process Owner(s) / </w:t>
            </w:r>
            <w:r w:rsidR="004C5CE1" w:rsidRPr="004A5408">
              <w:rPr>
                <w:b/>
                <w:sz w:val="24"/>
                <w:szCs w:val="24"/>
              </w:rPr>
              <w:t>Key Parties</w:t>
            </w:r>
            <w:r w:rsidR="002E6701">
              <w:rPr>
                <w:b/>
                <w:sz w:val="24"/>
                <w:szCs w:val="24"/>
              </w:rPr>
              <w:t xml:space="preserve"> / Contacts</w:t>
            </w:r>
            <w:r>
              <w:rPr>
                <w:b/>
                <w:sz w:val="24"/>
                <w:szCs w:val="24"/>
              </w:rPr>
              <w:t xml:space="preserve"> / Responsibilities</w:t>
            </w:r>
            <w:r w:rsidR="004C5CE1" w:rsidRPr="004C5CE1">
              <w:rPr>
                <w:b/>
              </w:rPr>
              <w:t xml:space="preserve">:  </w:t>
            </w:r>
          </w:p>
          <w:p w14:paraId="2CCE8807" w14:textId="77777777" w:rsidR="004C5CE1" w:rsidRDefault="004C5CE1" w:rsidP="00624552"/>
          <w:p w14:paraId="7C63D6A6" w14:textId="77777777" w:rsidR="000B4B42" w:rsidRPr="000B4B42" w:rsidRDefault="00FD4EDA" w:rsidP="000B4B42">
            <w:pPr>
              <w:rPr>
                <w:b/>
                <w:bCs/>
              </w:rPr>
            </w:pPr>
            <w:r w:rsidRPr="000B4B42">
              <w:rPr>
                <w:b/>
                <w:bCs/>
              </w:rPr>
              <w:t xml:space="preserve">Units: </w:t>
            </w:r>
          </w:p>
          <w:p w14:paraId="176A7144" w14:textId="281FAC88" w:rsidR="000B4B42" w:rsidRDefault="00FD4EDA" w:rsidP="000B4B42">
            <w:pPr>
              <w:pStyle w:val="ListParagraph"/>
              <w:numPr>
                <w:ilvl w:val="0"/>
                <w:numId w:val="4"/>
              </w:numPr>
            </w:pPr>
            <w:r>
              <w:t>Generating invoices</w:t>
            </w:r>
            <w:r w:rsidR="000B4B42">
              <w:t>: Units generate invoices for goods or services, including necessary details (Description of goods or services, quantities, prices, applicable taxes)</w:t>
            </w:r>
          </w:p>
          <w:p w14:paraId="4BD26D75" w14:textId="32F78B8F" w:rsidR="000B4B42" w:rsidRDefault="000B4B42" w:rsidP="000B4B42">
            <w:pPr>
              <w:pStyle w:val="ListParagraph"/>
              <w:numPr>
                <w:ilvl w:val="0"/>
                <w:numId w:val="4"/>
              </w:numPr>
            </w:pPr>
            <w:r>
              <w:t>M</w:t>
            </w:r>
            <w:r w:rsidR="00FD4EDA">
              <w:t>onitoring aging</w:t>
            </w:r>
            <w:r>
              <w:t>: Invoices are monitored for their aging status to identify overdue payments.</w:t>
            </w:r>
            <w:r w:rsidR="00BA2496">
              <w:t xml:space="preserve"> Allowance for doubtful accounts is recorded as necessary. </w:t>
            </w:r>
          </w:p>
          <w:p w14:paraId="2186DF6B" w14:textId="50C37658" w:rsidR="000B4B42" w:rsidRDefault="000B4B42" w:rsidP="000B4B42">
            <w:pPr>
              <w:pStyle w:val="ListParagraph"/>
              <w:numPr>
                <w:ilvl w:val="0"/>
                <w:numId w:val="4"/>
              </w:numPr>
            </w:pPr>
            <w:r>
              <w:t>R</w:t>
            </w:r>
            <w:r w:rsidR="00FD4EDA">
              <w:t>econciling General Ledger with AR activity</w:t>
            </w:r>
            <w:r>
              <w:t xml:space="preserve">: Periodically reconcile the general ledger with AR activity to ensure the two entities are in alignment. </w:t>
            </w:r>
          </w:p>
          <w:p w14:paraId="7432B629" w14:textId="791D9CB3" w:rsidR="000B4B42" w:rsidRDefault="000B4B42" w:rsidP="000B4B42">
            <w:pPr>
              <w:pStyle w:val="ListParagraph"/>
              <w:numPr>
                <w:ilvl w:val="0"/>
                <w:numId w:val="4"/>
              </w:numPr>
            </w:pPr>
            <w:r>
              <w:t>Where applicable</w:t>
            </w:r>
            <w:r w:rsidR="00FD4EDA">
              <w:t xml:space="preserve"> processing payments against outstanding invoices</w:t>
            </w:r>
            <w:r>
              <w:t xml:space="preserve">: Unless processed by the Office of Cash Management </w:t>
            </w:r>
          </w:p>
          <w:p w14:paraId="5EB60DCB" w14:textId="185446F4" w:rsidR="000B4B42" w:rsidRDefault="00FD4EDA" w:rsidP="000B4B42">
            <w:pPr>
              <w:pStyle w:val="ListParagraph"/>
              <w:numPr>
                <w:ilvl w:val="0"/>
                <w:numId w:val="4"/>
              </w:numPr>
            </w:pPr>
            <w:r>
              <w:t>Where applicable, the Senior Business Officer in the unit will need to provide authorization for write-offs under 5K.</w:t>
            </w:r>
          </w:p>
          <w:p w14:paraId="61F8202A" w14:textId="00B6B706" w:rsidR="000B4B42" w:rsidRDefault="000B4B42" w:rsidP="000B4B42">
            <w:pPr>
              <w:pStyle w:val="ListParagraph"/>
              <w:numPr>
                <w:ilvl w:val="0"/>
                <w:numId w:val="4"/>
              </w:numPr>
            </w:pPr>
            <w:r>
              <w:t xml:space="preserve">Review unidentified receipts from </w:t>
            </w:r>
            <w:r w:rsidR="007833FE">
              <w:t>O</w:t>
            </w:r>
            <w:r>
              <w:t>ffice of the Treasurer</w:t>
            </w:r>
          </w:p>
          <w:p w14:paraId="1614F749" w14:textId="5FD5468E" w:rsidR="0009782F" w:rsidRPr="00851944" w:rsidRDefault="0009782F" w:rsidP="000B4B42">
            <w:pPr>
              <w:pStyle w:val="ListParagraph"/>
              <w:numPr>
                <w:ilvl w:val="0"/>
                <w:numId w:val="4"/>
              </w:numPr>
            </w:pPr>
            <w:r w:rsidRPr="00851944">
              <w:t>Review Space Fee Approval Policy and process TDX form</w:t>
            </w:r>
          </w:p>
          <w:p w14:paraId="06318CAA" w14:textId="422D4B7F" w:rsidR="00FD4EDA" w:rsidRDefault="00FD4EDA" w:rsidP="000B4B42">
            <w:r>
              <w:t xml:space="preserve"> </w:t>
            </w:r>
          </w:p>
          <w:p w14:paraId="36D1BF7E" w14:textId="77777777" w:rsidR="000B4B42" w:rsidRPr="000B4B42" w:rsidRDefault="00FD4EDA" w:rsidP="000B4B42">
            <w:pPr>
              <w:rPr>
                <w:b/>
                <w:bCs/>
              </w:rPr>
            </w:pPr>
            <w:r w:rsidRPr="000B4B42">
              <w:rPr>
                <w:b/>
                <w:bCs/>
              </w:rPr>
              <w:t xml:space="preserve">SSC: </w:t>
            </w:r>
          </w:p>
          <w:p w14:paraId="03E22380" w14:textId="24A3F14A" w:rsidR="0009782F" w:rsidRDefault="000B4B42" w:rsidP="0009782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Where applicable, </w:t>
            </w:r>
            <w:r w:rsidR="00FD4EDA">
              <w:t xml:space="preserve">SSC will </w:t>
            </w:r>
            <w:r w:rsidR="009F0B14">
              <w:t xml:space="preserve">submit </w:t>
            </w:r>
            <w:proofErr w:type="spellStart"/>
            <w:r w:rsidR="009F0B14">
              <w:t>edoc</w:t>
            </w:r>
            <w:proofErr w:type="spellEnd"/>
            <w:r w:rsidR="009F0B14">
              <w:t xml:space="preserve"> to </w:t>
            </w:r>
            <w:r w:rsidR="00FD4EDA">
              <w:t>process payments</w:t>
            </w:r>
            <w:r>
              <w:t xml:space="preserve"> (cash, </w:t>
            </w:r>
            <w:proofErr w:type="spellStart"/>
            <w:proofErr w:type="gramStart"/>
            <w:r>
              <w:t>checks,etc</w:t>
            </w:r>
            <w:proofErr w:type="spellEnd"/>
            <w:r>
              <w:t>.</w:t>
            </w:r>
            <w:proofErr w:type="gramEnd"/>
            <w:r>
              <w:t>)</w:t>
            </w:r>
            <w:r w:rsidR="00FD4EDA">
              <w:t xml:space="preserve"> against outstanding invoices.</w:t>
            </w:r>
          </w:p>
          <w:p w14:paraId="23763FC5" w14:textId="74EB02B2" w:rsidR="0009782F" w:rsidRDefault="0009782F" w:rsidP="0009782F">
            <w:pPr>
              <w:pStyle w:val="ListParagraph"/>
              <w:numPr>
                <w:ilvl w:val="0"/>
                <w:numId w:val="4"/>
              </w:numPr>
            </w:pPr>
            <w:r>
              <w:t>Where applicable, SSC processes GL entries to record and relieve receivables</w:t>
            </w:r>
          </w:p>
          <w:p w14:paraId="5F491F27" w14:textId="77777777" w:rsidR="000B4B42" w:rsidRDefault="000B4B42" w:rsidP="000B4B42">
            <w:pPr>
              <w:pStyle w:val="ListParagraph"/>
            </w:pPr>
          </w:p>
          <w:p w14:paraId="4490789D" w14:textId="6F9D6D09" w:rsidR="000B4B42" w:rsidRPr="000B4B42" w:rsidRDefault="00FD4EDA" w:rsidP="000B4B42">
            <w:pPr>
              <w:rPr>
                <w:b/>
                <w:bCs/>
              </w:rPr>
            </w:pPr>
            <w:r w:rsidRPr="000B4B42">
              <w:rPr>
                <w:b/>
                <w:bCs/>
              </w:rPr>
              <w:t>Office of the Controller</w:t>
            </w:r>
            <w:r w:rsidR="000B4B42">
              <w:rPr>
                <w:b/>
                <w:bCs/>
              </w:rPr>
              <w:t>:</w:t>
            </w:r>
          </w:p>
          <w:p w14:paraId="09664325" w14:textId="5BEB7A17" w:rsidR="00FD4EDA" w:rsidRDefault="00FD4EDA" w:rsidP="000B4B42">
            <w:pPr>
              <w:pStyle w:val="ListParagraph"/>
              <w:numPr>
                <w:ilvl w:val="0"/>
                <w:numId w:val="4"/>
              </w:numPr>
            </w:pPr>
            <w:r>
              <w:t>Where applicable, the Office of the Controller will need to provide authorization for write-offs over 5K.</w:t>
            </w:r>
          </w:p>
          <w:p w14:paraId="45E11561" w14:textId="5FC351CF" w:rsidR="00C000E8" w:rsidRDefault="00C000E8" w:rsidP="000B4B42">
            <w:pPr>
              <w:pStyle w:val="ListParagraph"/>
              <w:numPr>
                <w:ilvl w:val="0"/>
                <w:numId w:val="4"/>
              </w:numPr>
            </w:pPr>
            <w:r>
              <w:t>Review Unrelated Business Income Tax Questionnaire and provide guidance to units as it relates to Tax Related activity</w:t>
            </w:r>
          </w:p>
          <w:p w14:paraId="47D9BCF3" w14:textId="77777777" w:rsidR="000B4B42" w:rsidRDefault="000B4B42" w:rsidP="000B4B42"/>
          <w:p w14:paraId="0939FF5D" w14:textId="77777777" w:rsidR="000B4B42" w:rsidRPr="000B4B42" w:rsidRDefault="00FD4EDA" w:rsidP="000B4B42">
            <w:pPr>
              <w:rPr>
                <w:b/>
                <w:bCs/>
              </w:rPr>
            </w:pPr>
            <w:r w:rsidRPr="000B4B42">
              <w:rPr>
                <w:b/>
                <w:bCs/>
              </w:rPr>
              <w:t xml:space="preserve">Office of the Treasurer: </w:t>
            </w:r>
          </w:p>
          <w:p w14:paraId="332A8655" w14:textId="1DDF3D44" w:rsidR="00FD4EDA" w:rsidRDefault="00FD4EDA" w:rsidP="000B4B42">
            <w:pPr>
              <w:pStyle w:val="ListParagraph"/>
              <w:numPr>
                <w:ilvl w:val="0"/>
                <w:numId w:val="4"/>
              </w:numPr>
            </w:pPr>
            <w:r>
              <w:t>Processes wire payment</w:t>
            </w:r>
            <w:r w:rsidR="007833FE">
              <w:t>s and payments sent to lockbox</w:t>
            </w:r>
            <w:r w:rsidR="009F0B14">
              <w:t xml:space="preserve"> via </w:t>
            </w:r>
            <w:proofErr w:type="spellStart"/>
            <w:r w:rsidR="009F0B14">
              <w:t>edoc</w:t>
            </w:r>
            <w:proofErr w:type="spellEnd"/>
          </w:p>
          <w:p w14:paraId="70236307" w14:textId="37E2D17C" w:rsidR="000B4B42" w:rsidRDefault="000B4B42" w:rsidP="000B4B42">
            <w:pPr>
              <w:pStyle w:val="ListParagraph"/>
              <w:numPr>
                <w:ilvl w:val="0"/>
                <w:numId w:val="4"/>
              </w:numPr>
            </w:pPr>
            <w:r>
              <w:t>Works with unit to approve MID for credit card processing</w:t>
            </w:r>
          </w:p>
          <w:p w14:paraId="186377D7" w14:textId="77777777" w:rsidR="004E04E9" w:rsidRDefault="004E04E9" w:rsidP="004E04E9"/>
          <w:p w14:paraId="14A16A4E" w14:textId="3141C8B7" w:rsidR="004E04E9" w:rsidRPr="00851944" w:rsidRDefault="004E04E9" w:rsidP="004E04E9">
            <w:pPr>
              <w:rPr>
                <w:b/>
                <w:bCs/>
              </w:rPr>
            </w:pPr>
            <w:r w:rsidRPr="00851944">
              <w:rPr>
                <w:b/>
                <w:bCs/>
              </w:rPr>
              <w:t>University Budget Office</w:t>
            </w:r>
            <w:r w:rsidR="00851944">
              <w:rPr>
                <w:b/>
                <w:bCs/>
              </w:rPr>
              <w:t>:</w:t>
            </w:r>
          </w:p>
          <w:p w14:paraId="40D979A3" w14:textId="1520C4D8" w:rsidR="004E04E9" w:rsidRDefault="004E04E9" w:rsidP="00354372">
            <w:pPr>
              <w:pStyle w:val="ListParagraph"/>
              <w:numPr>
                <w:ilvl w:val="0"/>
                <w:numId w:val="4"/>
              </w:numPr>
            </w:pPr>
            <w:r>
              <w:t>Reviews and approves Space Fee TDX forms</w:t>
            </w:r>
          </w:p>
          <w:p w14:paraId="743EFD93" w14:textId="77777777" w:rsidR="0054346C" w:rsidRDefault="0054346C" w:rsidP="00624552"/>
        </w:tc>
      </w:tr>
      <w:tr w:rsidR="004E04E9" w14:paraId="11E51EDB" w14:textId="77777777" w:rsidTr="004C5CE1">
        <w:tc>
          <w:tcPr>
            <w:tcW w:w="9576" w:type="dxa"/>
          </w:tcPr>
          <w:p w14:paraId="5E62DDD5" w14:textId="77777777" w:rsidR="004E04E9" w:rsidRDefault="004E04E9" w:rsidP="00624552">
            <w:pPr>
              <w:rPr>
                <w:b/>
                <w:sz w:val="24"/>
                <w:szCs w:val="24"/>
              </w:rPr>
            </w:pPr>
          </w:p>
        </w:tc>
      </w:tr>
    </w:tbl>
    <w:p w14:paraId="336FF8B2" w14:textId="77777777" w:rsidR="004C5CE1" w:rsidRDefault="004C5CE1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330C" w14:paraId="03D8E194" w14:textId="77777777" w:rsidTr="008C330C">
        <w:tc>
          <w:tcPr>
            <w:tcW w:w="9576" w:type="dxa"/>
          </w:tcPr>
          <w:p w14:paraId="69A48699" w14:textId="77777777" w:rsidR="008C330C" w:rsidRPr="008C330C" w:rsidRDefault="008C330C" w:rsidP="00624552">
            <w:pPr>
              <w:rPr>
                <w:b/>
              </w:rPr>
            </w:pPr>
            <w:r w:rsidRPr="004A5408">
              <w:rPr>
                <w:b/>
                <w:sz w:val="24"/>
                <w:szCs w:val="24"/>
              </w:rPr>
              <w:t>Key Documents / Sources of Information</w:t>
            </w:r>
            <w:r w:rsidRPr="008C330C">
              <w:rPr>
                <w:b/>
              </w:rPr>
              <w:t>:</w:t>
            </w:r>
          </w:p>
          <w:p w14:paraId="67CC95CA" w14:textId="77777777" w:rsidR="008C330C" w:rsidRDefault="008C330C" w:rsidP="00624552"/>
          <w:p w14:paraId="1A174902" w14:textId="47C4BB04" w:rsidR="00C000E8" w:rsidRDefault="00C000E8" w:rsidP="00624552">
            <w:r>
              <w:t xml:space="preserve">Unrelated Business Income Questionnaire: </w:t>
            </w:r>
            <w:hyperlink r:id="rId11" w:history="1">
              <w:r w:rsidRPr="00C000E8">
                <w:rPr>
                  <w:rStyle w:val="Hyperlink"/>
                </w:rPr>
                <w:t>Request Form - Unrelated Business Income Questionnaire (cornell.edu)</w:t>
              </w:r>
            </w:hyperlink>
          </w:p>
          <w:p w14:paraId="633A795C" w14:textId="77777777" w:rsidR="00C000E8" w:rsidRDefault="00C000E8" w:rsidP="00624552"/>
          <w:p w14:paraId="3E587C93" w14:textId="61DEB181" w:rsidR="00C000E8" w:rsidRDefault="00C000E8" w:rsidP="00624552">
            <w:r>
              <w:t xml:space="preserve">For inquiries related to Unrelated Business Income contact the DFS Tax Office: </w:t>
            </w:r>
            <w:hyperlink r:id="rId12" w:history="1">
              <w:r w:rsidRPr="00C000E8">
                <w:rPr>
                  <w:rStyle w:val="Hyperlink"/>
                </w:rPr>
                <w:t>Request Form - DFS Tax Office Inquiry (cornell.edu)</w:t>
              </w:r>
            </w:hyperlink>
          </w:p>
          <w:p w14:paraId="1D91BB99" w14:textId="77777777" w:rsidR="00C000E8" w:rsidRDefault="00C000E8" w:rsidP="00624552"/>
          <w:p w14:paraId="54C1C86E" w14:textId="77777777" w:rsidR="00777EC2" w:rsidRDefault="00777EC2" w:rsidP="00624552">
            <w:r>
              <w:t>Policy 3.17: Accepting Credit Cards to Conduct University Business</w:t>
            </w:r>
          </w:p>
          <w:p w14:paraId="2D74E555" w14:textId="6DB1B035" w:rsidR="00777EC2" w:rsidRDefault="00777EC2" w:rsidP="00624552">
            <w:hyperlink r:id="rId13" w:history="1">
              <w:r w:rsidRPr="00777EC2">
                <w:rPr>
                  <w:rStyle w:val="Hyperlink"/>
                </w:rPr>
                <w:t>University Policy 3.17, Accepting Credit Cards to Conduct University Business</w:t>
              </w:r>
            </w:hyperlink>
          </w:p>
          <w:p w14:paraId="4FAF31E3" w14:textId="77777777" w:rsidR="00777EC2" w:rsidRDefault="00777EC2" w:rsidP="00624552"/>
          <w:p w14:paraId="01B33E4F" w14:textId="383C012B" w:rsidR="001A0332" w:rsidRDefault="0056164A" w:rsidP="00624552">
            <w:r>
              <w:t>Policy 3.22: Safeguarding of Financial Assets, Including Cash, Checks, and Securities:</w:t>
            </w:r>
          </w:p>
          <w:p w14:paraId="7FD1F768" w14:textId="1662B514" w:rsidR="0056164A" w:rsidRDefault="0056164A" w:rsidP="00624552">
            <w:hyperlink r:id="rId14" w:history="1">
              <w:r>
                <w:rPr>
                  <w:rStyle w:val="Hyperlink"/>
                </w:rPr>
                <w:t>University Policy 3.22, Safekeeping of Financial Assets, Including Cash, Checks, and Securities (cornell.edu)</w:t>
              </w:r>
            </w:hyperlink>
          </w:p>
          <w:p w14:paraId="445DAAFB" w14:textId="77777777" w:rsidR="0056164A" w:rsidRDefault="0056164A" w:rsidP="00624552"/>
          <w:p w14:paraId="2424EC56" w14:textId="52D3B97C" w:rsidR="0056164A" w:rsidRDefault="001A5328" w:rsidP="00624552">
            <w:r>
              <w:t xml:space="preserve">DFS Accounts Receivable: </w:t>
            </w:r>
            <w:hyperlink r:id="rId15" w:history="1">
              <w:r>
                <w:rPr>
                  <w:rStyle w:val="Hyperlink"/>
                </w:rPr>
                <w:t>Accounts Receivable | Cornell University Division of Financial Services</w:t>
              </w:r>
            </w:hyperlink>
          </w:p>
          <w:p w14:paraId="4A632157" w14:textId="77777777" w:rsidR="001A5328" w:rsidRDefault="001A5328" w:rsidP="00624552"/>
          <w:p w14:paraId="07C27BD6" w14:textId="6C5B3828" w:rsidR="00F36BDA" w:rsidRDefault="00F36BDA" w:rsidP="00624552">
            <w:r>
              <w:t xml:space="preserve">Allowance for Doubtful Accounts: </w:t>
            </w:r>
            <w:hyperlink r:id="rId16" w:history="1">
              <w:r w:rsidRPr="00F36BDA">
                <w:rPr>
                  <w:rStyle w:val="Hyperlink"/>
                </w:rPr>
                <w:t>Allowance for Doubtful Accounts and Bad Debt Expenses | Cornell University Division of Financial Services</w:t>
              </w:r>
            </w:hyperlink>
          </w:p>
          <w:p w14:paraId="29DE7C00" w14:textId="77777777" w:rsidR="00F36BDA" w:rsidRDefault="00F36BDA" w:rsidP="00624552"/>
          <w:p w14:paraId="03FE6958" w14:textId="41A071A4" w:rsidR="001A5328" w:rsidRDefault="001A5328" w:rsidP="00624552">
            <w:r>
              <w:t xml:space="preserve">Writing Off Uncollectable Receivables: </w:t>
            </w:r>
            <w:hyperlink r:id="rId17" w:history="1">
              <w:r>
                <w:rPr>
                  <w:rStyle w:val="Hyperlink"/>
                </w:rPr>
                <w:t>Writing Off Uncollectable Receivables | Cornell University Division of Financial Services</w:t>
              </w:r>
            </w:hyperlink>
          </w:p>
          <w:p w14:paraId="36FA671C" w14:textId="77777777" w:rsidR="001A5328" w:rsidRDefault="001A5328" w:rsidP="00624552"/>
          <w:p w14:paraId="595083E6" w14:textId="38F291A6" w:rsidR="001A5328" w:rsidRDefault="001A5328" w:rsidP="00624552">
            <w:r>
              <w:t xml:space="preserve">Interdepartmental Billings: </w:t>
            </w:r>
            <w:hyperlink r:id="rId18" w:history="1">
              <w:r>
                <w:rPr>
                  <w:rStyle w:val="Hyperlink"/>
                </w:rPr>
                <w:t>Interdepartmental Billings | Cornell University Division of Financial Services</w:t>
              </w:r>
            </w:hyperlink>
          </w:p>
          <w:p w14:paraId="269C2C0C" w14:textId="77777777" w:rsidR="001A5328" w:rsidRDefault="001A5328" w:rsidP="00624552"/>
          <w:p w14:paraId="085147D0" w14:textId="4F226C00" w:rsidR="001A5328" w:rsidRDefault="001A5328" w:rsidP="00624552">
            <w:r>
              <w:lastRenderedPageBreak/>
              <w:t xml:space="preserve">Authorized Direct Charge Processors: </w:t>
            </w:r>
            <w:hyperlink r:id="rId19" w:history="1">
              <w:r>
                <w:rPr>
                  <w:rStyle w:val="Hyperlink"/>
                </w:rPr>
                <w:t>Authorized Direct Charge Processors | Cornell University Division of Financial Services</w:t>
              </w:r>
            </w:hyperlink>
          </w:p>
          <w:p w14:paraId="0061146D" w14:textId="77777777" w:rsidR="0056164A" w:rsidRDefault="0056164A" w:rsidP="00624552"/>
          <w:p w14:paraId="11AD27D7" w14:textId="19AB1079" w:rsidR="00520A5F" w:rsidRDefault="00520A5F" w:rsidP="00624552">
            <w:r>
              <w:t xml:space="preserve">Processing Wires and ACH Payments: </w:t>
            </w:r>
            <w:hyperlink r:id="rId20" w:history="1">
              <w:r>
                <w:rPr>
                  <w:rStyle w:val="Hyperlink"/>
                </w:rPr>
                <w:t>Processing Wires and ACH Payments | Cornell University Division of Financial Services</w:t>
              </w:r>
            </w:hyperlink>
          </w:p>
          <w:p w14:paraId="591F8C1C" w14:textId="77777777" w:rsidR="00520A5F" w:rsidRDefault="00520A5F" w:rsidP="00624552"/>
          <w:p w14:paraId="323E34B5" w14:textId="6E8826D0" w:rsidR="00520A5F" w:rsidRDefault="00520A5F" w:rsidP="00624552">
            <w:pPr>
              <w:rPr>
                <w:rStyle w:val="Hyperlink"/>
              </w:rPr>
            </w:pPr>
            <w:r>
              <w:t xml:space="preserve">Notification of Expected Transfer Online Form: </w:t>
            </w:r>
            <w:hyperlink r:id="rId21" w:history="1">
              <w:r>
                <w:rPr>
                  <w:rStyle w:val="Hyperlink"/>
                </w:rPr>
                <w:t>Cornell University Web Login</w:t>
              </w:r>
            </w:hyperlink>
          </w:p>
          <w:p w14:paraId="6E2C4A65" w14:textId="77777777" w:rsidR="009D064B" w:rsidRDefault="009D064B" w:rsidP="00624552">
            <w:pPr>
              <w:rPr>
                <w:rStyle w:val="Hyperlink"/>
              </w:rPr>
            </w:pPr>
          </w:p>
          <w:p w14:paraId="0B711037" w14:textId="3C3072C9" w:rsidR="009D064B" w:rsidRDefault="009D064B" w:rsidP="00624552">
            <w:pPr>
              <w:rPr>
                <w:rStyle w:val="Hyperlink"/>
              </w:rPr>
            </w:pPr>
            <w:r>
              <w:t xml:space="preserve">Allowance for Doubtful Accounts: </w:t>
            </w:r>
            <w:hyperlink r:id="rId22" w:history="1">
              <w:r>
                <w:rPr>
                  <w:rStyle w:val="Hyperlink"/>
                </w:rPr>
                <w:t>Allowance for Doubtful Accounts and Bad Debt Expenses | Cornell University Division of Financial Services</w:t>
              </w:r>
            </w:hyperlink>
          </w:p>
          <w:p w14:paraId="6C02ACF7" w14:textId="77777777" w:rsidR="000103D1" w:rsidRDefault="000103D1" w:rsidP="00624552">
            <w:pPr>
              <w:rPr>
                <w:rStyle w:val="Hyperlink"/>
              </w:rPr>
            </w:pPr>
          </w:p>
          <w:p w14:paraId="140EE0D7" w14:textId="7323CF4C" w:rsidR="000103D1" w:rsidRDefault="000103D1" w:rsidP="00624552">
            <w:pPr>
              <w:rPr>
                <w:color w:val="0000FF"/>
                <w:u w:val="single"/>
              </w:rPr>
            </w:pPr>
            <w:r>
              <w:rPr>
                <w:rStyle w:val="Hyperlink"/>
              </w:rPr>
              <w:t xml:space="preserve">Account Monitoring and Reconciliation Resources: </w:t>
            </w:r>
            <w:hyperlink r:id="rId23" w:history="1">
              <w:r w:rsidRPr="000103D1">
                <w:rPr>
                  <w:rStyle w:val="Hyperlink"/>
                </w:rPr>
                <w:t>Training and Templates | Cornell University Division of Financial Services</w:t>
              </w:r>
            </w:hyperlink>
          </w:p>
          <w:p w14:paraId="78013318" w14:textId="77777777" w:rsidR="000103D1" w:rsidRDefault="000103D1" w:rsidP="00624552">
            <w:pPr>
              <w:rPr>
                <w:color w:val="0000FF"/>
                <w:u w:val="single"/>
              </w:rPr>
            </w:pPr>
          </w:p>
          <w:p w14:paraId="76028866" w14:textId="1D5084AA" w:rsidR="000103D1" w:rsidRDefault="000103D1" w:rsidP="00624552">
            <w:r>
              <w:t xml:space="preserve">Reconciliation: </w:t>
            </w:r>
            <w:hyperlink r:id="rId24" w:history="1">
              <w:r w:rsidRPr="000103D1">
                <w:rPr>
                  <w:rStyle w:val="Hyperlink"/>
                </w:rPr>
                <w:t>Reconciliation | Cornell University Division of Financial Services</w:t>
              </w:r>
            </w:hyperlink>
          </w:p>
          <w:p w14:paraId="2EB32C74" w14:textId="77777777" w:rsidR="00C72090" w:rsidRDefault="00C72090" w:rsidP="00624552"/>
          <w:p w14:paraId="6028598B" w14:textId="16351C83" w:rsidR="00C72090" w:rsidRDefault="00C72090" w:rsidP="00624552">
            <w:hyperlink r:id="rId25" w:history="1">
              <w:r w:rsidRPr="00C72090">
                <w:rPr>
                  <w:rStyle w:val="Hyperlink"/>
                </w:rPr>
                <w:t>Reconciliation Guidelines | Cornell University Division of Financial Services</w:t>
              </w:r>
            </w:hyperlink>
          </w:p>
          <w:p w14:paraId="0F1C744C" w14:textId="77777777" w:rsidR="000103D1" w:rsidRDefault="000103D1" w:rsidP="00624552"/>
          <w:p w14:paraId="18886F03" w14:textId="7E36F6D5" w:rsidR="000103D1" w:rsidRDefault="000103D1" w:rsidP="00624552">
            <w:r>
              <w:t xml:space="preserve">Account and Object Code Monitoring: </w:t>
            </w:r>
            <w:hyperlink r:id="rId26" w:history="1">
              <w:r w:rsidRPr="000103D1">
                <w:rPr>
                  <w:rStyle w:val="Hyperlink"/>
                </w:rPr>
                <w:t>Account and Object Code Monitoring | Cornell University Division of Financial Services</w:t>
              </w:r>
            </w:hyperlink>
          </w:p>
          <w:p w14:paraId="6824D90A" w14:textId="77777777" w:rsidR="00E47F15" w:rsidRDefault="00E47F15" w:rsidP="00624552"/>
          <w:p w14:paraId="36AFA04B" w14:textId="77777777" w:rsidR="00E47F15" w:rsidRPr="00E47F15" w:rsidRDefault="00E47F15" w:rsidP="00E47F15">
            <w:r>
              <w:t xml:space="preserve">Interdepartmental Fee Requests TDX Webform: </w:t>
            </w:r>
            <w:hyperlink r:id="rId27" w:history="1">
              <w:r w:rsidRPr="00E47F15">
                <w:rPr>
                  <w:rStyle w:val="Hyperlink"/>
                </w:rPr>
                <w:t>https://tdx.cornell.edu/TDClient/213/Portal/Requests/TicketRequests/NewForm?ID=-F3UDBTB1l4_&amp;RequestorType=Service</w:t>
              </w:r>
            </w:hyperlink>
          </w:p>
          <w:p w14:paraId="1AFC6A74" w14:textId="77777777" w:rsidR="00E47F15" w:rsidRDefault="00E47F15" w:rsidP="00624552"/>
          <w:p w14:paraId="071F5757" w14:textId="2B60F914" w:rsidR="00E47F15" w:rsidRDefault="00E27013" w:rsidP="00624552">
            <w:r>
              <w:t xml:space="preserve">Fees for Internal Users of Cornell Physical Spaces: </w:t>
            </w:r>
            <w:hyperlink r:id="rId28" w:history="1">
              <w:r w:rsidRPr="00E27013">
                <w:rPr>
                  <w:rStyle w:val="Hyperlink"/>
                </w:rPr>
                <w:t>Space_Fee_Policy_Approved_16_1109-1s3ykcp.pdf (cornell.edu)</w:t>
              </w:r>
            </w:hyperlink>
            <w:r w:rsidR="00E47F15">
              <w:t xml:space="preserve"> </w:t>
            </w:r>
          </w:p>
          <w:p w14:paraId="0E63BD49" w14:textId="77777777" w:rsidR="00334ED1" w:rsidRDefault="00334ED1" w:rsidP="00624552"/>
          <w:p w14:paraId="79149A33" w14:textId="5F9DF9F7" w:rsidR="00334ED1" w:rsidRDefault="00334ED1" w:rsidP="00624552">
            <w:r>
              <w:t xml:space="preserve">Cash Deposits: </w:t>
            </w:r>
            <w:hyperlink r:id="rId29" w:history="1">
              <w:r w:rsidRPr="00334ED1">
                <w:rPr>
                  <w:rStyle w:val="Hyperlink"/>
                </w:rPr>
                <w:t>Cash Deposits | Cornell University Division of Financial Services</w:t>
              </w:r>
            </w:hyperlink>
          </w:p>
          <w:p w14:paraId="546A0F46" w14:textId="77777777" w:rsidR="008C330C" w:rsidRDefault="008C330C" w:rsidP="00624552"/>
        </w:tc>
      </w:tr>
    </w:tbl>
    <w:p w14:paraId="32529986" w14:textId="77777777" w:rsidR="008C330C" w:rsidRDefault="008C330C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087D" w14:paraId="6589B8D0" w14:textId="77777777" w:rsidTr="00F264E6">
        <w:tc>
          <w:tcPr>
            <w:tcW w:w="9576" w:type="dxa"/>
          </w:tcPr>
          <w:p w14:paraId="7A748270" w14:textId="351F3FAA" w:rsidR="00D9087D" w:rsidRDefault="00D9087D" w:rsidP="00F264E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System Access Needed</w:t>
            </w:r>
            <w:r w:rsidRPr="008C330C">
              <w:rPr>
                <w:b/>
              </w:rPr>
              <w:t>:</w:t>
            </w:r>
          </w:p>
          <w:p w14:paraId="13D38F36" w14:textId="77777777" w:rsidR="000103D1" w:rsidRPr="00242EF2" w:rsidRDefault="000103D1" w:rsidP="00F264E6">
            <w:pPr>
              <w:rPr>
                <w:b/>
              </w:rPr>
            </w:pPr>
          </w:p>
          <w:p w14:paraId="3867E1E8" w14:textId="78595AED" w:rsidR="000B4B42" w:rsidRDefault="00520A5F" w:rsidP="00F264E6">
            <w:r>
              <w:t>KFS</w:t>
            </w:r>
            <w:r w:rsidR="001D45B7">
              <w:t xml:space="preserve"> (</w:t>
            </w:r>
            <w:proofErr w:type="spellStart"/>
            <w:r w:rsidR="001D45B7">
              <w:t>ie</w:t>
            </w:r>
            <w:proofErr w:type="spellEnd"/>
            <w:r w:rsidR="001D45B7">
              <w:t xml:space="preserve">. Interdepartmental Billings eDocs, </w:t>
            </w:r>
            <w:r w:rsidR="0009782F">
              <w:t xml:space="preserve">Service Billing eDocs, </w:t>
            </w:r>
            <w:r w:rsidR="001D45B7">
              <w:t>WebFin2, etc.)</w:t>
            </w:r>
          </w:p>
          <w:p w14:paraId="0536A26D" w14:textId="369EDF0D" w:rsidR="00520A5F" w:rsidRDefault="00CF72BF" w:rsidP="00F264E6">
            <w:r>
              <w:t>Invoice Generation Tool</w:t>
            </w:r>
            <w:r w:rsidR="001D45B7">
              <w:t xml:space="preserve"> (</w:t>
            </w:r>
            <w:proofErr w:type="spellStart"/>
            <w:r w:rsidR="001D45B7">
              <w:t>ie</w:t>
            </w:r>
            <w:proofErr w:type="spellEnd"/>
            <w:r w:rsidR="001D45B7">
              <w:t xml:space="preserve">. </w:t>
            </w:r>
            <w:proofErr w:type="spellStart"/>
            <w:r w:rsidR="001D45B7">
              <w:t>Quickbooks</w:t>
            </w:r>
            <w:proofErr w:type="spellEnd"/>
            <w:r w:rsidR="001D45B7">
              <w:t>, Microsoft Office, Event Management System, etc.)</w:t>
            </w:r>
          </w:p>
          <w:p w14:paraId="7EFB1BAE" w14:textId="1DF7ED3B" w:rsidR="00E47F15" w:rsidRDefault="00E47F15" w:rsidP="00F264E6">
            <w:r>
              <w:t>TDX webform for submitting interdepartmental fee requests</w:t>
            </w:r>
          </w:p>
          <w:p w14:paraId="0CE919A6" w14:textId="3BD27AE5" w:rsidR="00D5024A" w:rsidRDefault="00D5024A" w:rsidP="00D5024A"/>
        </w:tc>
      </w:tr>
    </w:tbl>
    <w:p w14:paraId="6F83F6A6" w14:textId="77777777" w:rsidR="00D9087D" w:rsidRDefault="00D9087D" w:rsidP="00D9087D">
      <w:pPr>
        <w:spacing w:after="0"/>
      </w:pPr>
    </w:p>
    <w:p w14:paraId="30167AD1" w14:textId="77777777" w:rsidR="00B509A1" w:rsidRDefault="00B509A1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6E34" w14:paraId="51F62C39" w14:textId="77777777" w:rsidTr="00F96E34">
        <w:tc>
          <w:tcPr>
            <w:tcW w:w="9576" w:type="dxa"/>
          </w:tcPr>
          <w:p w14:paraId="69726E07" w14:textId="7A54F6A8" w:rsidR="00F96E34" w:rsidRDefault="00F96E34" w:rsidP="00624552">
            <w:r w:rsidRPr="00F96E34">
              <w:rPr>
                <w:b/>
                <w:sz w:val="24"/>
                <w:szCs w:val="24"/>
              </w:rPr>
              <w:t>Common Problems or Issues Encountered</w:t>
            </w:r>
            <w:r>
              <w:t xml:space="preserve">:  </w:t>
            </w:r>
          </w:p>
          <w:p w14:paraId="65F3F508" w14:textId="77777777" w:rsidR="00F96E34" w:rsidRDefault="00F96E34" w:rsidP="00624552"/>
          <w:p w14:paraId="478F1126" w14:textId="44EB187C" w:rsidR="00242EF2" w:rsidRDefault="00242EF2" w:rsidP="00242EF2">
            <w:r>
              <w:t>Reconciling accounts receivable (AR) billing from an external system to an internal system can present several common issues:</w:t>
            </w:r>
          </w:p>
          <w:p w14:paraId="45BC3031" w14:textId="77777777" w:rsidR="00014426" w:rsidRDefault="00014426" w:rsidP="00242EF2"/>
          <w:p w14:paraId="5691AF34" w14:textId="52C46776" w:rsidR="00242EF2" w:rsidRDefault="00242EF2" w:rsidP="00242EF2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Inaccurate Record-Keeping: Discrepancies between the ledger and actual invoices can lead to confusion and errors during the reconciliation process.</w:t>
            </w:r>
          </w:p>
          <w:p w14:paraId="2DFB33E9" w14:textId="53C1EBD6" w:rsidR="00242EF2" w:rsidRDefault="00242EF2" w:rsidP="00242EF2">
            <w:pPr>
              <w:pStyle w:val="ListParagraph"/>
              <w:numPr>
                <w:ilvl w:val="0"/>
                <w:numId w:val="5"/>
              </w:numPr>
            </w:pPr>
            <w:r>
              <w:t>Delayed Payments: Late payments from customers can disrupt expected cash flow and complicate the reconciliation timeline.</w:t>
            </w:r>
          </w:p>
          <w:p w14:paraId="19033934" w14:textId="77777777" w:rsidR="00242EF2" w:rsidRDefault="00242EF2" w:rsidP="00242EF2">
            <w:pPr>
              <w:pStyle w:val="ListParagraph"/>
              <w:numPr>
                <w:ilvl w:val="0"/>
                <w:numId w:val="5"/>
              </w:numPr>
            </w:pPr>
            <w:r>
              <w:t>Duplicate Entries: The same invoice or payment may be recorded more than once, which can inflate the AR balance inaccurately.</w:t>
            </w:r>
          </w:p>
          <w:p w14:paraId="2BB64547" w14:textId="77777777" w:rsidR="00242EF2" w:rsidRDefault="00242EF2" w:rsidP="00242EF2">
            <w:pPr>
              <w:pStyle w:val="ListParagraph"/>
              <w:numPr>
                <w:ilvl w:val="0"/>
                <w:numId w:val="5"/>
              </w:numPr>
            </w:pPr>
            <w:r>
              <w:t>Missed Payments: Payments that are not recorded in the AR system can result in an understated AR balance.</w:t>
            </w:r>
          </w:p>
          <w:p w14:paraId="0A8C6FEA" w14:textId="77777777" w:rsidR="00242EF2" w:rsidRDefault="00242EF2" w:rsidP="00242EF2">
            <w:pPr>
              <w:pStyle w:val="ListParagraph"/>
              <w:numPr>
                <w:ilvl w:val="0"/>
                <w:numId w:val="5"/>
              </w:numPr>
            </w:pPr>
            <w:r>
              <w:t>Incorrect Postings: Errors in posting payments to the correct customer accounts or invoices can cause discrepancies.</w:t>
            </w:r>
          </w:p>
          <w:p w14:paraId="48AE238C" w14:textId="3F69478F" w:rsidR="00242EF2" w:rsidRDefault="00242EF2" w:rsidP="00242EF2">
            <w:pPr>
              <w:pStyle w:val="ListParagraph"/>
              <w:numPr>
                <w:ilvl w:val="0"/>
                <w:numId w:val="5"/>
              </w:numPr>
            </w:pPr>
            <w:r>
              <w:t>Journal Entry Errors: A journal entry made to the general ledger that bypasses the subsidiary sales ledger is a common reason for differences when reconciling.</w:t>
            </w:r>
          </w:p>
          <w:p w14:paraId="507D25E1" w14:textId="312B616F" w:rsidR="00BD0057" w:rsidRDefault="00BD0057" w:rsidP="00242EF2">
            <w:pPr>
              <w:pStyle w:val="ListParagraph"/>
              <w:numPr>
                <w:ilvl w:val="0"/>
                <w:numId w:val="5"/>
              </w:numPr>
            </w:pPr>
            <w:r>
              <w:t xml:space="preserve">Understated Allowance for Doubtful Accounts/ Overstated Accounts Receivable Balance: Transactions with a potential risk of being uncollectible are not properly assessed and/or the allowance for doubtful accounts is inaccurate. </w:t>
            </w:r>
          </w:p>
          <w:p w14:paraId="32E2DF2B" w14:textId="77777777" w:rsidR="00242EF2" w:rsidRDefault="00242EF2" w:rsidP="00242EF2"/>
          <w:p w14:paraId="6F0CB09B" w14:textId="77777777" w:rsidR="00242EF2" w:rsidRDefault="00242EF2" w:rsidP="00242EF2">
            <w:r>
              <w:t xml:space="preserve">To mitigate these issues, it’s important to have a strong system of internal controls, a robust reconciliation process that includes regular checks and balances, clear communication between departments, and the use of automated systems to reduce manual errors. </w:t>
            </w:r>
          </w:p>
          <w:p w14:paraId="3766EE5B" w14:textId="77777777" w:rsidR="00242EF2" w:rsidRDefault="00242EF2" w:rsidP="00242EF2"/>
          <w:p w14:paraId="1ECDDBA8" w14:textId="54E02E8E" w:rsidR="00F96E34" w:rsidRDefault="00242EF2" w:rsidP="00242EF2">
            <w:r>
              <w:t>Regular reconciliation helps ensure financial records are accurate, which is crucial for reliable reporting and informed decision-making</w:t>
            </w:r>
          </w:p>
          <w:p w14:paraId="7B9D05D8" w14:textId="0A17173B" w:rsidR="00242EF2" w:rsidRDefault="00242EF2" w:rsidP="00242EF2"/>
        </w:tc>
      </w:tr>
    </w:tbl>
    <w:p w14:paraId="6C0B712E" w14:textId="77777777" w:rsidR="00F96E34" w:rsidRDefault="00F96E34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5CE1" w14:paraId="2E7FC8E1" w14:textId="77777777" w:rsidTr="00851944">
        <w:trPr>
          <w:trHeight w:val="1448"/>
        </w:trPr>
        <w:tc>
          <w:tcPr>
            <w:tcW w:w="9576" w:type="dxa"/>
          </w:tcPr>
          <w:p w14:paraId="0E01CFD3" w14:textId="77777777" w:rsidR="004C5CE1" w:rsidRPr="004C5CE1" w:rsidRDefault="0094550A" w:rsidP="00624552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Detailed </w:t>
            </w:r>
            <w:r w:rsidR="004C5CE1" w:rsidRPr="004A5408">
              <w:rPr>
                <w:b/>
                <w:sz w:val="24"/>
                <w:szCs w:val="24"/>
              </w:rPr>
              <w:t>Step by Step Procedures</w:t>
            </w:r>
            <w:r w:rsidR="0033089E">
              <w:rPr>
                <w:b/>
                <w:sz w:val="24"/>
                <w:szCs w:val="24"/>
              </w:rPr>
              <w:t xml:space="preserve"> (</w:t>
            </w:r>
            <w:r w:rsidR="0033089E" w:rsidRPr="00EE225E">
              <w:rPr>
                <w:b/>
                <w:color w:val="548DD4" w:themeColor="text2" w:themeTint="99"/>
                <w:sz w:val="24"/>
                <w:szCs w:val="24"/>
              </w:rPr>
              <w:t>to be completed by Process Owner</w:t>
            </w:r>
            <w:r w:rsidR="0033089E">
              <w:rPr>
                <w:b/>
                <w:sz w:val="24"/>
                <w:szCs w:val="24"/>
              </w:rPr>
              <w:t>)</w:t>
            </w:r>
            <w:r w:rsidR="004C5CE1" w:rsidRPr="004C5CE1">
              <w:rPr>
                <w:b/>
              </w:rPr>
              <w:t>:</w:t>
            </w:r>
          </w:p>
          <w:p w14:paraId="32A6EB96" w14:textId="5C7F7DCB" w:rsidR="00D5024A" w:rsidRDefault="00D5024A" w:rsidP="00624552"/>
          <w:p w14:paraId="1F152D43" w14:textId="043F6C89" w:rsidR="00C000E8" w:rsidRDefault="00014426" w:rsidP="00014426">
            <w:r>
              <w:t xml:space="preserve">Step 1: </w:t>
            </w:r>
            <w:r w:rsidR="00CE7077">
              <w:t>Unit identifies need to Bill Customer (Non-Bursar</w:t>
            </w:r>
            <w:r w:rsidR="00777EC2">
              <w:t>, Non-Medical</w:t>
            </w:r>
            <w:r w:rsidR="00CE7077">
              <w:t xml:space="preserve">) for Goods or Services. </w:t>
            </w:r>
            <w:r w:rsidR="00015543">
              <w:t xml:space="preserve">Where applicable, the unit signs a contract or agreement with a customer. </w:t>
            </w:r>
          </w:p>
          <w:p w14:paraId="0404DE25" w14:textId="77777777" w:rsidR="00C000E8" w:rsidRDefault="00C000E8" w:rsidP="00014426"/>
          <w:p w14:paraId="1103351C" w14:textId="28879533" w:rsidR="004C5CE1" w:rsidRDefault="00C000E8" w:rsidP="00014426">
            <w:r>
              <w:t xml:space="preserve">Step 2: </w:t>
            </w:r>
            <w:r w:rsidR="00015543">
              <w:t xml:space="preserve">When a unit engages in billing activity that is not related to education or sponsored research an </w:t>
            </w:r>
            <w:hyperlink r:id="rId30" w:history="1">
              <w:r w:rsidR="00015543" w:rsidRPr="00C000E8">
                <w:rPr>
                  <w:rStyle w:val="Hyperlink"/>
                </w:rPr>
                <w:t>Unrelated Business Income Tax (UBIT) Questionnaire</w:t>
              </w:r>
            </w:hyperlink>
            <w:r w:rsidR="00015543">
              <w:t xml:space="preserve"> needs to be complete.</w:t>
            </w:r>
            <w:r w:rsidR="0086443B">
              <w:t xml:space="preserve"> If the unit has already filled this form out for this type of billing activity, move forward.</w:t>
            </w:r>
            <w:r w:rsidR="00015543">
              <w:t xml:space="preserve"> For additional questions in regards to UBIT please submit an inquiry here: </w:t>
            </w:r>
            <w:hyperlink r:id="rId31" w:history="1">
              <w:r w:rsidR="00015543" w:rsidRPr="00C000E8">
                <w:rPr>
                  <w:rStyle w:val="Hyperlink"/>
                </w:rPr>
                <w:t>Request Form - DFS Tax Office Inquiry (cornell.edu)</w:t>
              </w:r>
            </w:hyperlink>
            <w:r w:rsidR="00015543">
              <w:t>.</w:t>
            </w:r>
          </w:p>
          <w:p w14:paraId="72F0208F" w14:textId="77777777" w:rsidR="00014426" w:rsidRDefault="00014426" w:rsidP="00014426"/>
          <w:p w14:paraId="07897B7A" w14:textId="74739D44" w:rsidR="00014426" w:rsidRDefault="00014426" w:rsidP="00014426">
            <w:r>
              <w:t xml:space="preserve">Step </w:t>
            </w:r>
            <w:r w:rsidR="00C000E8">
              <w:t>3</w:t>
            </w:r>
            <w:r>
              <w:t>: Identify if the customer being billed is an internal or external customer.</w:t>
            </w:r>
          </w:p>
          <w:p w14:paraId="7509CE44" w14:textId="77777777" w:rsidR="00014426" w:rsidRDefault="00014426" w:rsidP="00014426"/>
          <w:p w14:paraId="1816C5F6" w14:textId="12652E72" w:rsidR="00014426" w:rsidRDefault="00014426" w:rsidP="00014426">
            <w:r>
              <w:t xml:space="preserve">Step </w:t>
            </w:r>
            <w:r w:rsidR="00C000E8">
              <w:t>4</w:t>
            </w:r>
            <w:r>
              <w:t xml:space="preserve">: If this is an internal customer (Cornell entity with an account to process payments against). The unit can process a </w:t>
            </w:r>
            <w:hyperlink r:id="rId32" w:history="1">
              <w:r w:rsidRPr="00014426">
                <w:rPr>
                  <w:rStyle w:val="Hyperlink"/>
                </w:rPr>
                <w:t>Service Billing</w:t>
              </w:r>
            </w:hyperlink>
            <w:r>
              <w:t xml:space="preserve"> </w:t>
            </w:r>
            <w:proofErr w:type="spellStart"/>
            <w:r>
              <w:t>edoc</w:t>
            </w:r>
            <w:proofErr w:type="spellEnd"/>
            <w:r>
              <w:t xml:space="preserve"> or an </w:t>
            </w:r>
            <w:hyperlink r:id="rId33" w:history="1">
              <w:r w:rsidRPr="00014426">
                <w:rPr>
                  <w:rStyle w:val="Hyperlink"/>
                </w:rPr>
                <w:t xml:space="preserve">Internal Billing </w:t>
              </w:r>
            </w:hyperlink>
            <w:proofErr w:type="spellStart"/>
            <w:r>
              <w:t>edoc</w:t>
            </w:r>
            <w:proofErr w:type="spellEnd"/>
            <w:r>
              <w:t xml:space="preserve"> to process payment. </w:t>
            </w:r>
            <w:r w:rsidR="00215CA8">
              <w:t>Refer to the updated Interdepartmental Fee Guidelines for updated guidance. For example, i</w:t>
            </w:r>
            <w:r w:rsidR="00DD4CA5">
              <w:t>f t</w:t>
            </w:r>
            <w:r w:rsidR="002962A2">
              <w:t xml:space="preserve">he internal billing is related to </w:t>
            </w:r>
            <w:r w:rsidR="000C71A6">
              <w:t>new</w:t>
            </w:r>
            <w:r w:rsidR="00FC54EF">
              <w:t xml:space="preserve"> fees</w:t>
            </w:r>
            <w:r w:rsidR="000C71A6">
              <w:t xml:space="preserve"> or revis</w:t>
            </w:r>
            <w:r w:rsidR="00FC54EF">
              <w:t>ion of existing fees, for the</w:t>
            </w:r>
            <w:r w:rsidR="000C71A6">
              <w:t xml:space="preserve"> </w:t>
            </w:r>
            <w:r w:rsidR="002962A2">
              <w:t xml:space="preserve">use of </w:t>
            </w:r>
            <w:r w:rsidR="00215CA8">
              <w:t xml:space="preserve">rooms or </w:t>
            </w:r>
            <w:r w:rsidR="002962A2">
              <w:t>physical space</w:t>
            </w:r>
            <w:r w:rsidR="00FC54EF">
              <w:t>,</w:t>
            </w:r>
            <w:r w:rsidR="002962A2">
              <w:t xml:space="preserve"> refer to the updated guidelines: </w:t>
            </w:r>
            <w:hyperlink r:id="rId34" w:history="1">
              <w:r w:rsidR="002962A2" w:rsidRPr="002962A2">
                <w:rPr>
                  <w:rStyle w:val="Hyperlink"/>
                </w:rPr>
                <w:t>Space_Fee_Policy_Approved_16_1109-1s3ykcp.pdf (cornell.edu)</w:t>
              </w:r>
            </w:hyperlink>
            <w:r w:rsidR="002962A2">
              <w:t>.</w:t>
            </w:r>
          </w:p>
          <w:p w14:paraId="34F28D1C" w14:textId="77777777" w:rsidR="00014426" w:rsidRDefault="00014426" w:rsidP="00014426"/>
          <w:p w14:paraId="285CC1E9" w14:textId="4EB37EE4" w:rsidR="00014426" w:rsidRDefault="00014426" w:rsidP="00014426">
            <w:r>
              <w:t xml:space="preserve">Step </w:t>
            </w:r>
            <w:r w:rsidR="00C000E8">
              <w:t>5</w:t>
            </w:r>
            <w:r>
              <w:t>:</w:t>
            </w:r>
            <w:r w:rsidR="00DB4A94">
              <w:t xml:space="preserve"> If a Service Billing </w:t>
            </w:r>
            <w:proofErr w:type="spellStart"/>
            <w:r w:rsidR="00DB4A94">
              <w:t>edoc</w:t>
            </w:r>
            <w:proofErr w:type="spellEnd"/>
            <w:r w:rsidR="00DB4A94">
              <w:t xml:space="preserve"> is processed, it will not require a fiscal officer or a delegate to approve the </w:t>
            </w:r>
            <w:proofErr w:type="spellStart"/>
            <w:r w:rsidR="00DB4A94">
              <w:t>edoc</w:t>
            </w:r>
            <w:proofErr w:type="spellEnd"/>
            <w:r w:rsidR="00DB4A94">
              <w:t xml:space="preserve">. For a unit to be granted a Service </w:t>
            </w:r>
            <w:r w:rsidR="0086443B">
              <w:t xml:space="preserve">Billing </w:t>
            </w:r>
            <w:r w:rsidR="00DB4A94">
              <w:t>Role they will need to work with the SSC to be granted this role.</w:t>
            </w:r>
            <w:r>
              <w:t xml:space="preserve"> </w:t>
            </w:r>
            <w:r w:rsidR="0086443B">
              <w:t xml:space="preserve">If a Service Billing role is not </w:t>
            </w:r>
            <w:r w:rsidR="00BF0DDE">
              <w:t>appropriate,</w:t>
            </w:r>
            <w:r w:rsidR="0086443B">
              <w:t xml:space="preserve"> then the unit will need to submit an </w:t>
            </w:r>
            <w:r w:rsidR="0086443B">
              <w:lastRenderedPageBreak/>
              <w:t xml:space="preserve">Internal Billing </w:t>
            </w:r>
            <w:proofErr w:type="spellStart"/>
            <w:r w:rsidR="0086443B">
              <w:t>edoc</w:t>
            </w:r>
            <w:proofErr w:type="spellEnd"/>
            <w:r w:rsidR="0086443B">
              <w:t xml:space="preserve">. </w:t>
            </w:r>
            <w:r>
              <w:t xml:space="preserve">If an Internal Billing </w:t>
            </w:r>
            <w:proofErr w:type="spellStart"/>
            <w:r>
              <w:t>edoc</w:t>
            </w:r>
            <w:proofErr w:type="spellEnd"/>
            <w:r>
              <w:t xml:space="preserve"> is </w:t>
            </w:r>
            <w:proofErr w:type="gramStart"/>
            <w:r>
              <w:t>processed</w:t>
            </w:r>
            <w:proofErr w:type="gramEnd"/>
            <w:r>
              <w:t xml:space="preserve"> then a fiscal officer or delegate will need to approve the </w:t>
            </w:r>
            <w:proofErr w:type="spellStart"/>
            <w:r>
              <w:t>edoc</w:t>
            </w:r>
            <w:proofErr w:type="spellEnd"/>
            <w:r>
              <w:t>.</w:t>
            </w:r>
          </w:p>
          <w:p w14:paraId="4D0992DC" w14:textId="77777777" w:rsidR="00014426" w:rsidRDefault="00014426" w:rsidP="00014426"/>
          <w:p w14:paraId="6AF5A059" w14:textId="5717C280" w:rsidR="00014426" w:rsidRDefault="00014426" w:rsidP="00014426">
            <w:r>
              <w:t xml:space="preserve">Step </w:t>
            </w:r>
            <w:r w:rsidR="00C000E8">
              <w:t>6</w:t>
            </w:r>
            <w:r>
              <w:t>: If the customer is external then the unit generates an invoice.</w:t>
            </w:r>
          </w:p>
          <w:p w14:paraId="0B6EDA2E" w14:textId="77777777" w:rsidR="00014426" w:rsidRDefault="00014426" w:rsidP="00014426"/>
          <w:p w14:paraId="6C5D7706" w14:textId="60BCD60D" w:rsidR="00014426" w:rsidRDefault="00014426" w:rsidP="00014426">
            <w:r>
              <w:t xml:space="preserve">Step </w:t>
            </w:r>
            <w:r w:rsidR="00C000E8">
              <w:t>7</w:t>
            </w:r>
            <w:r>
              <w:t>: The unit monitors the amounts billed to customers.</w:t>
            </w:r>
          </w:p>
          <w:p w14:paraId="5A1A115B" w14:textId="77777777" w:rsidR="00014426" w:rsidRDefault="00014426" w:rsidP="00014426"/>
          <w:p w14:paraId="12CD236D" w14:textId="476CA2D7" w:rsidR="00014426" w:rsidRDefault="00014426" w:rsidP="00014426">
            <w:r>
              <w:t xml:space="preserve">Step </w:t>
            </w:r>
            <w:r w:rsidR="00C000E8">
              <w:t>8</w:t>
            </w:r>
            <w:r>
              <w:t xml:space="preserve">: When revenue is </w:t>
            </w:r>
            <w:proofErr w:type="gramStart"/>
            <w:r>
              <w:t>earned</w:t>
            </w:r>
            <w:proofErr w:type="gramEnd"/>
            <w:r>
              <w:t xml:space="preserve"> but payment is not received the unit </w:t>
            </w:r>
            <w:proofErr w:type="gramStart"/>
            <w:r>
              <w:t>would</w:t>
            </w:r>
            <w:proofErr w:type="gramEnd"/>
            <w:r>
              <w:t xml:space="preserve"> create an AR Journal Entry.</w:t>
            </w:r>
          </w:p>
          <w:p w14:paraId="1604B426" w14:textId="77777777" w:rsidR="00014426" w:rsidRDefault="00014426" w:rsidP="00014426"/>
          <w:p w14:paraId="2548E8C0" w14:textId="2DAFDE16" w:rsidR="00014426" w:rsidRDefault="00014426" w:rsidP="00014426">
            <w:r>
              <w:t xml:space="preserve">Step </w:t>
            </w:r>
            <w:r w:rsidR="00C000E8">
              <w:t>9</w:t>
            </w:r>
            <w:r>
              <w:t xml:space="preserve">: After the invoices are sent, and payment is received the unit needs to process payment. </w:t>
            </w:r>
          </w:p>
          <w:p w14:paraId="5773C843" w14:textId="77777777" w:rsidR="00014426" w:rsidRDefault="00014426" w:rsidP="00014426"/>
          <w:p w14:paraId="3AA0AEA6" w14:textId="4EE7AC83" w:rsidR="00F81389" w:rsidRDefault="00014426" w:rsidP="00F81389">
            <w:r>
              <w:t xml:space="preserve">Step </w:t>
            </w:r>
            <w:r w:rsidR="00C000E8">
              <w:t>10</w:t>
            </w:r>
            <w:r>
              <w:t xml:space="preserve">: </w:t>
            </w:r>
            <w:r w:rsidR="00685290">
              <w:t xml:space="preserve">Process payments once they are received. Review the AR Billing Flow Chart Payment Received Flow Chart for more details. </w:t>
            </w:r>
            <w:proofErr w:type="gramStart"/>
            <w:r w:rsidR="00F81389">
              <w:t>Unit</w:t>
            </w:r>
            <w:proofErr w:type="gramEnd"/>
            <w:r w:rsidR="00F81389">
              <w:t xml:space="preserve"> should review and reference policies (3.17, 3.22) for information on safeguarding financial assets and accepting credit card payments. </w:t>
            </w:r>
            <w:r w:rsidR="00AB29EB">
              <w:t xml:space="preserve">Units are responsible per Policy .17 for reconciling daily all cash and check payments received to that day’s sales receipts. </w:t>
            </w:r>
          </w:p>
          <w:p w14:paraId="2098A94A" w14:textId="77777777" w:rsidR="00014426" w:rsidRDefault="00014426" w:rsidP="00014426"/>
          <w:p w14:paraId="34A57A42" w14:textId="0C70D64F" w:rsidR="00685290" w:rsidRDefault="00014426" w:rsidP="00014426">
            <w:r>
              <w:t>Step 1</w:t>
            </w:r>
            <w:r w:rsidR="00C000E8">
              <w:t>1</w:t>
            </w:r>
            <w:r>
              <w:t xml:space="preserve">: </w:t>
            </w:r>
            <w:r w:rsidR="00DB4A94">
              <w:t xml:space="preserve">The unit reviews the </w:t>
            </w:r>
            <w:hyperlink r:id="rId35" w:anchor=":~:text=Unidentified%20receipts%20are%20funds%20received%20by%20Cornell%20for,funds%2C%20please%20inform%20our%20office%20of%20expected%20wires." w:history="1">
              <w:r w:rsidR="00DB4A94" w:rsidRPr="00014426">
                <w:rPr>
                  <w:rStyle w:val="Hyperlink"/>
                </w:rPr>
                <w:t>unidentified receipts spreadsheet</w:t>
              </w:r>
            </w:hyperlink>
            <w:r w:rsidR="00DB4A94">
              <w:t xml:space="preserve"> to locate payment. </w:t>
            </w:r>
          </w:p>
          <w:p w14:paraId="05539D80" w14:textId="77777777" w:rsidR="00B2373A" w:rsidRDefault="00B2373A" w:rsidP="00014426"/>
          <w:p w14:paraId="7292A202" w14:textId="07D1BFA4" w:rsidR="00B2373A" w:rsidRDefault="00685290" w:rsidP="00B2373A">
            <w:r>
              <w:t>Step 1</w:t>
            </w:r>
            <w:r w:rsidR="00C000E8">
              <w:t>2</w:t>
            </w:r>
            <w:r>
              <w:t xml:space="preserve">: </w:t>
            </w:r>
            <w:r w:rsidR="00DB4A94">
              <w:t xml:space="preserve">Unit monitors Accounts Receivable/Aging for payments due from customers. </w:t>
            </w:r>
            <w:r w:rsidR="002101BB" w:rsidRPr="002101BB">
              <w:t>Units should consider using an allowance for doubtful accounts when they are regularly providing goods or services “on credit” and have experience with the collectability of those accounts. </w:t>
            </w:r>
            <w:hyperlink r:id="rId36" w:anchor=":~:text=Allowance%20for%20Doubtful%20Accounts%20is%20a%20contra%20current,external%20customers%20where%20the%20possibility%20of%20default%20exists." w:history="1">
              <w:r w:rsidR="002101BB" w:rsidRPr="002101BB">
                <w:rPr>
                  <w:rStyle w:val="Hyperlink"/>
                </w:rPr>
                <w:t>Allowance for Doubtful Accounts and Bad Debt Expenses | Cornell University Division of Financial Services</w:t>
              </w:r>
            </w:hyperlink>
          </w:p>
          <w:p w14:paraId="7E5E25BA" w14:textId="77777777" w:rsidR="00B2373A" w:rsidRDefault="00B2373A" w:rsidP="00B2373A"/>
          <w:p w14:paraId="43D61D72" w14:textId="7C350B04" w:rsidR="00685290" w:rsidRDefault="00B2373A" w:rsidP="00014426">
            <w:r>
              <w:t>Step 1</w:t>
            </w:r>
            <w:r w:rsidR="00C000E8">
              <w:t>3</w:t>
            </w:r>
            <w:r>
              <w:t xml:space="preserve">: Once payment is received and applied against the appropriate account, the unit reconciles AR </w:t>
            </w:r>
            <w:r w:rsidR="00C72090">
              <w:t>Activity monthly</w:t>
            </w:r>
            <w:r>
              <w:t xml:space="preserve">. </w:t>
            </w:r>
            <w:r w:rsidR="00B07ABD">
              <w:t xml:space="preserve">For more information on Account Monitoring and Reconciliation refer </w:t>
            </w:r>
            <w:r w:rsidR="00C72090">
              <w:t xml:space="preserve">the DFS </w:t>
            </w:r>
            <w:hyperlink r:id="rId37" w:history="1">
              <w:r w:rsidR="00C72090" w:rsidRPr="00C72090">
                <w:rPr>
                  <w:rStyle w:val="Hyperlink"/>
                </w:rPr>
                <w:t>Reconciliation Guidelines | Cornell University Division of Financial Services</w:t>
              </w:r>
            </w:hyperlink>
            <w:r w:rsidR="00C72090">
              <w:t>.</w:t>
            </w:r>
          </w:p>
          <w:p w14:paraId="6A427BEF" w14:textId="77777777" w:rsidR="00B2373A" w:rsidRDefault="00B2373A" w:rsidP="00014426"/>
          <w:p w14:paraId="022D8597" w14:textId="19F49D74" w:rsidR="00B2373A" w:rsidRDefault="00B2373A" w:rsidP="00014426">
            <w:r>
              <w:t>Step 1</w:t>
            </w:r>
            <w:r w:rsidR="00C000E8">
              <w:t>4</w:t>
            </w:r>
            <w:r>
              <w:t>: If payment is not received</w:t>
            </w:r>
            <w:r w:rsidR="00334ED1">
              <w:t>, the unit has checked the unidentified receipts spreadsheet, and</w:t>
            </w:r>
            <w:r>
              <w:t xml:space="preserve"> after multiple attempts at collection have been made then the unit will need to write off the uncollected balance. </w:t>
            </w:r>
          </w:p>
          <w:p w14:paraId="2EACD26C" w14:textId="77777777" w:rsidR="00B2373A" w:rsidRDefault="00B2373A" w:rsidP="00014426"/>
          <w:p w14:paraId="2CC42790" w14:textId="58492E80" w:rsidR="00B2373A" w:rsidRDefault="00B2373A" w:rsidP="00014426">
            <w:r>
              <w:t>Step 1</w:t>
            </w:r>
            <w:r w:rsidR="00C000E8">
              <w:t>5</w:t>
            </w:r>
            <w:r>
              <w:t>: If the Write-Off is less than $5,000, authorization from the Unit’s senior business officer for Approval is required.</w:t>
            </w:r>
          </w:p>
          <w:p w14:paraId="276F8FB8" w14:textId="77777777" w:rsidR="00B2373A" w:rsidRDefault="00B2373A" w:rsidP="00014426"/>
          <w:p w14:paraId="7A11B063" w14:textId="0A89C9A8" w:rsidR="00B2373A" w:rsidRDefault="00B2373A" w:rsidP="00014426">
            <w:r>
              <w:t>Step 1</w:t>
            </w:r>
            <w:r w:rsidR="00C000E8">
              <w:t>6</w:t>
            </w:r>
            <w:r>
              <w:t>: If the Write-Off is over $5,000, authorization from the Office of the University Controller is required.</w:t>
            </w:r>
          </w:p>
          <w:p w14:paraId="574D078E" w14:textId="77777777" w:rsidR="00B2373A" w:rsidRDefault="00B2373A" w:rsidP="00014426"/>
          <w:p w14:paraId="1D0A482E" w14:textId="6309EDBF" w:rsidR="00B2373A" w:rsidRDefault="00B2373A" w:rsidP="00014426">
            <w:r>
              <w:t>Step 1</w:t>
            </w:r>
            <w:r w:rsidR="00C000E8">
              <w:t>7</w:t>
            </w:r>
            <w:r>
              <w:t>: Submit a Write-Off entry with authorization</w:t>
            </w:r>
            <w:r w:rsidR="00C72090">
              <w:t xml:space="preserve">. For more information on Writing Off Uncollectable Receivables refer to </w:t>
            </w:r>
            <w:hyperlink r:id="rId38" w:history="1">
              <w:r w:rsidR="00C72090" w:rsidRPr="00C72090">
                <w:rPr>
                  <w:rStyle w:val="Hyperlink"/>
                </w:rPr>
                <w:t>Writing Off Uncollectable Receivables | Cornell University Division of Financial Services</w:t>
              </w:r>
            </w:hyperlink>
          </w:p>
        </w:tc>
      </w:tr>
    </w:tbl>
    <w:p w14:paraId="774A341B" w14:textId="77777777" w:rsidR="004C5CE1" w:rsidRDefault="004C5CE1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3F31" w14:paraId="1BD7FCA3" w14:textId="77777777" w:rsidTr="00F73F31">
        <w:tc>
          <w:tcPr>
            <w:tcW w:w="4788" w:type="dxa"/>
            <w:shd w:val="clear" w:color="auto" w:fill="FF5050"/>
          </w:tcPr>
          <w:p w14:paraId="74BDDDE0" w14:textId="77777777" w:rsidR="00F73F31" w:rsidRPr="00F73F31" w:rsidRDefault="00F73F31" w:rsidP="00F73F31">
            <w:pPr>
              <w:jc w:val="center"/>
              <w:rPr>
                <w:b/>
                <w:sz w:val="24"/>
                <w:szCs w:val="24"/>
              </w:rPr>
            </w:pPr>
            <w:r w:rsidRPr="00F73F31">
              <w:rPr>
                <w:b/>
                <w:sz w:val="24"/>
                <w:szCs w:val="24"/>
              </w:rPr>
              <w:t>Key Risks</w:t>
            </w:r>
          </w:p>
        </w:tc>
        <w:tc>
          <w:tcPr>
            <w:tcW w:w="4788" w:type="dxa"/>
            <w:shd w:val="clear" w:color="auto" w:fill="66FF66"/>
          </w:tcPr>
          <w:p w14:paraId="32F5D422" w14:textId="77777777" w:rsidR="00F73F31" w:rsidRPr="00F73F31" w:rsidRDefault="00F73F31" w:rsidP="00F73F31">
            <w:pPr>
              <w:jc w:val="center"/>
              <w:rPr>
                <w:b/>
                <w:sz w:val="24"/>
                <w:szCs w:val="24"/>
              </w:rPr>
            </w:pPr>
            <w:r w:rsidRPr="00F73F31">
              <w:rPr>
                <w:b/>
                <w:sz w:val="24"/>
                <w:szCs w:val="24"/>
              </w:rPr>
              <w:t>Key Controls</w:t>
            </w:r>
          </w:p>
        </w:tc>
      </w:tr>
      <w:tr w:rsidR="00F73F31" w14:paraId="705A5D6F" w14:textId="77777777" w:rsidTr="00F73F31">
        <w:tc>
          <w:tcPr>
            <w:tcW w:w="4788" w:type="dxa"/>
          </w:tcPr>
          <w:p w14:paraId="4803BC5A" w14:textId="5A538FE7" w:rsidR="00F73F31" w:rsidRDefault="009C0361" w:rsidP="00F73F31">
            <w:r>
              <w:t>Inaccurate Record-Keeping</w:t>
            </w:r>
          </w:p>
        </w:tc>
        <w:tc>
          <w:tcPr>
            <w:tcW w:w="4788" w:type="dxa"/>
          </w:tcPr>
          <w:p w14:paraId="525D98F1" w14:textId="56148F54" w:rsidR="00F73F31" w:rsidRDefault="00E96CC1" w:rsidP="00624552">
            <w:r>
              <w:t>Unit implements processes and roles to ensure records are accurate and current</w:t>
            </w:r>
          </w:p>
          <w:p w14:paraId="6BC143FE" w14:textId="77777777" w:rsidR="00F73F31" w:rsidRDefault="00F73F31" w:rsidP="00624552"/>
        </w:tc>
      </w:tr>
      <w:tr w:rsidR="00F73F31" w14:paraId="5EADDF92" w14:textId="77777777" w:rsidTr="00F73F31">
        <w:tc>
          <w:tcPr>
            <w:tcW w:w="4788" w:type="dxa"/>
          </w:tcPr>
          <w:p w14:paraId="55BF5665" w14:textId="333DDF67" w:rsidR="00F73F31" w:rsidRDefault="00E96CC1" w:rsidP="00624552">
            <w:r>
              <w:lastRenderedPageBreak/>
              <w:t>Delayed Payments</w:t>
            </w:r>
          </w:p>
        </w:tc>
        <w:tc>
          <w:tcPr>
            <w:tcW w:w="4788" w:type="dxa"/>
          </w:tcPr>
          <w:p w14:paraId="28625043" w14:textId="348EC557" w:rsidR="00F73F31" w:rsidRDefault="00E96CC1" w:rsidP="00624552">
            <w:r>
              <w:t>Unit works with the customer and the Office of the Treasurer to ensure all payments are identified in a timely fashion. Roles are implemented to process payments in a timely fashion.</w:t>
            </w:r>
          </w:p>
        </w:tc>
      </w:tr>
      <w:tr w:rsidR="00F73F31" w14:paraId="7546C8BC" w14:textId="77777777" w:rsidTr="00F73F31">
        <w:tc>
          <w:tcPr>
            <w:tcW w:w="4788" w:type="dxa"/>
          </w:tcPr>
          <w:p w14:paraId="4F66DDF2" w14:textId="6A52A1A6" w:rsidR="00F73F31" w:rsidRDefault="00E96CC1" w:rsidP="00624552">
            <w:r>
              <w:t>Duplicate Entries</w:t>
            </w:r>
          </w:p>
        </w:tc>
        <w:tc>
          <w:tcPr>
            <w:tcW w:w="4788" w:type="dxa"/>
          </w:tcPr>
          <w:p w14:paraId="385D7B0F" w14:textId="7D703DBF" w:rsidR="00F73F31" w:rsidRDefault="00E96CC1" w:rsidP="00624552">
            <w:r>
              <w:t xml:space="preserve">Unit implements processes and roles to ensure there are </w:t>
            </w:r>
            <w:proofErr w:type="gramStart"/>
            <w:r>
              <w:t>not</w:t>
            </w:r>
            <w:proofErr w:type="gramEnd"/>
            <w:r>
              <w:t xml:space="preserve"> duplicate entries.</w:t>
            </w:r>
          </w:p>
        </w:tc>
      </w:tr>
      <w:tr w:rsidR="00E96CC1" w14:paraId="0296FE8A" w14:textId="77777777" w:rsidTr="00F73F31">
        <w:tc>
          <w:tcPr>
            <w:tcW w:w="4788" w:type="dxa"/>
          </w:tcPr>
          <w:p w14:paraId="11E6F446" w14:textId="44CF9016" w:rsidR="00E96CC1" w:rsidRDefault="00E96CC1" w:rsidP="00624552">
            <w:r>
              <w:t>Missed Payments</w:t>
            </w:r>
          </w:p>
        </w:tc>
        <w:tc>
          <w:tcPr>
            <w:tcW w:w="4788" w:type="dxa"/>
          </w:tcPr>
          <w:p w14:paraId="6435E4CA" w14:textId="2024A383" w:rsidR="00E96CC1" w:rsidRDefault="00E96CC1" w:rsidP="00624552">
            <w:r>
              <w:t>Unit implements process to monitor payments and ensure customers are current with outstanding invoices.</w:t>
            </w:r>
          </w:p>
        </w:tc>
      </w:tr>
      <w:tr w:rsidR="00E96CC1" w14:paraId="1C3C3845" w14:textId="77777777" w:rsidTr="00F73F31">
        <w:tc>
          <w:tcPr>
            <w:tcW w:w="4788" w:type="dxa"/>
          </w:tcPr>
          <w:p w14:paraId="7F7CA80C" w14:textId="01B64C69" w:rsidR="00E96CC1" w:rsidRDefault="00E96CC1" w:rsidP="00624552">
            <w:r>
              <w:t>Incorrect Postings</w:t>
            </w:r>
          </w:p>
        </w:tc>
        <w:tc>
          <w:tcPr>
            <w:tcW w:w="4788" w:type="dxa"/>
          </w:tcPr>
          <w:p w14:paraId="6C47DED3" w14:textId="1C4E43EC" w:rsidR="00E96CC1" w:rsidRDefault="00E96CC1" w:rsidP="00624552">
            <w:r>
              <w:t>Unit reconciles budget versus actuals, and monitors general ledger entries for accuracy</w:t>
            </w:r>
          </w:p>
        </w:tc>
      </w:tr>
      <w:tr w:rsidR="00E96CC1" w14:paraId="187DC2FC" w14:textId="77777777" w:rsidTr="00F73F31">
        <w:tc>
          <w:tcPr>
            <w:tcW w:w="4788" w:type="dxa"/>
          </w:tcPr>
          <w:p w14:paraId="6D846F4A" w14:textId="286A7CCF" w:rsidR="00E96CC1" w:rsidRDefault="00E96CC1" w:rsidP="00624552">
            <w:r>
              <w:t>Journal Entry Errors</w:t>
            </w:r>
          </w:p>
        </w:tc>
        <w:tc>
          <w:tcPr>
            <w:tcW w:w="4788" w:type="dxa"/>
          </w:tcPr>
          <w:p w14:paraId="0CAE5EF6" w14:textId="0E4712E4" w:rsidR="00E96CC1" w:rsidRDefault="00E96CC1" w:rsidP="00624552">
            <w:r>
              <w:t>A journal entry made to the general ledger that bypasses the subsidiary sales ledger is a common reason for differences when reconciling. Unit should implement processes to ensure journal entries are correct.</w:t>
            </w:r>
          </w:p>
        </w:tc>
      </w:tr>
      <w:tr w:rsidR="00A42815" w14:paraId="5B57D7BD" w14:textId="77777777" w:rsidTr="00F73F31">
        <w:tc>
          <w:tcPr>
            <w:tcW w:w="4788" w:type="dxa"/>
          </w:tcPr>
          <w:p w14:paraId="00BBBB0F" w14:textId="00A6F164" w:rsidR="00A42815" w:rsidRDefault="00A42815" w:rsidP="00624552">
            <w:r>
              <w:t>Unauthorized or Improper Financial Write-Offs</w:t>
            </w:r>
          </w:p>
        </w:tc>
        <w:tc>
          <w:tcPr>
            <w:tcW w:w="4788" w:type="dxa"/>
          </w:tcPr>
          <w:p w14:paraId="3D03F196" w14:textId="5E17F402" w:rsidR="00A42815" w:rsidRDefault="00A42815" w:rsidP="00624552">
            <w:r>
              <w:t>Unit obtains authorization for write-offs. Where write-off is greater than $5,000 the unit must acquire authorization from the University Controller. Where the write-off is lower than $5,000 the unit must acquire authorization from the unit’s senior business officer.</w:t>
            </w:r>
          </w:p>
        </w:tc>
      </w:tr>
    </w:tbl>
    <w:p w14:paraId="378FCFC8" w14:textId="77777777" w:rsidR="00B44E29" w:rsidRDefault="00B44E29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2004" w14:paraId="0B673867" w14:textId="77777777" w:rsidTr="005E2004">
        <w:tc>
          <w:tcPr>
            <w:tcW w:w="9576" w:type="dxa"/>
          </w:tcPr>
          <w:p w14:paraId="2322EC52" w14:textId="77777777" w:rsidR="005E2004" w:rsidRPr="005E2004" w:rsidRDefault="005E2004" w:rsidP="006245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Process Inefficiencies </w:t>
            </w:r>
            <w:proofErr w:type="gramStart"/>
            <w:r>
              <w:rPr>
                <w:b/>
                <w:sz w:val="24"/>
                <w:szCs w:val="24"/>
              </w:rPr>
              <w:t>To</w:t>
            </w:r>
            <w:proofErr w:type="gramEnd"/>
            <w:r>
              <w:rPr>
                <w:b/>
                <w:sz w:val="24"/>
                <w:szCs w:val="24"/>
              </w:rPr>
              <w:t xml:space="preserve"> Be Addressed:</w:t>
            </w:r>
          </w:p>
          <w:p w14:paraId="0DD0D644" w14:textId="77777777" w:rsidR="005E2004" w:rsidRDefault="005E2004" w:rsidP="00624552"/>
          <w:p w14:paraId="341888DD" w14:textId="77777777" w:rsidR="00454631" w:rsidRDefault="00454631" w:rsidP="0045463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5463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Data Discrepancies</w:t>
            </w:r>
            <w:r w:rsidRPr="00454631">
              <w:rPr>
                <w:rFonts w:asciiTheme="minorHAnsi" w:eastAsiaTheme="minorHAnsi" w:hAnsiTheme="minorHAnsi" w:cstheme="minorBidi"/>
                <w:sz w:val="22"/>
                <w:szCs w:val="22"/>
              </w:rPr>
              <w:t>: Inconsistencies between the subsidiary system and the general ledger can lead to errors in financial reporting.</w:t>
            </w:r>
          </w:p>
          <w:p w14:paraId="5D48C3FE" w14:textId="77777777" w:rsidR="00454631" w:rsidRPr="00454631" w:rsidRDefault="00454631" w:rsidP="00454631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2C474B5F" w14:textId="77777777" w:rsidR="00454631" w:rsidRDefault="00454631" w:rsidP="0045463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5463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Manual Reconciliation</w:t>
            </w:r>
            <w:r w:rsidRPr="00454631">
              <w:rPr>
                <w:rFonts w:asciiTheme="minorHAnsi" w:eastAsiaTheme="minorHAnsi" w:hAnsiTheme="minorHAnsi" w:cstheme="minorBidi"/>
                <w:sz w:val="22"/>
                <w:szCs w:val="22"/>
              </w:rPr>
              <w:t>: The need for manual reconciliation between systems can be time-consuming and prone to human error.</w:t>
            </w:r>
          </w:p>
          <w:p w14:paraId="7DEB8CA3" w14:textId="77777777" w:rsidR="00454631" w:rsidRPr="00454631" w:rsidRDefault="00454631" w:rsidP="004546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4623411F" w14:textId="77777777" w:rsidR="00454631" w:rsidRDefault="00454631" w:rsidP="0045463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5463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Delayed Financial Close</w:t>
            </w:r>
            <w:r w:rsidRPr="00454631">
              <w:rPr>
                <w:rFonts w:asciiTheme="minorHAnsi" w:eastAsiaTheme="minorHAnsi" w:hAnsiTheme="minorHAnsi" w:cstheme="minorBidi"/>
                <w:sz w:val="22"/>
                <w:szCs w:val="22"/>
              </w:rPr>
              <w:t>: Inefficiencies in the billing system can cause delays in the month-end financial close process.</w:t>
            </w:r>
          </w:p>
          <w:p w14:paraId="1A672CC0" w14:textId="77777777" w:rsidR="00454631" w:rsidRPr="00454631" w:rsidRDefault="00454631" w:rsidP="004546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51861249" w14:textId="77777777" w:rsidR="00454631" w:rsidRDefault="00454631" w:rsidP="0045463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5463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Lack of Real-Time Data</w:t>
            </w:r>
            <w:r w:rsidRPr="00454631">
              <w:rPr>
                <w:rFonts w:asciiTheme="minorHAnsi" w:eastAsiaTheme="minorHAnsi" w:hAnsiTheme="minorHAnsi" w:cstheme="minorBidi"/>
                <w:sz w:val="22"/>
                <w:szCs w:val="22"/>
              </w:rPr>
              <w:t>: Without real-time integration, the general ledger may not reflect the most current financial position.</w:t>
            </w:r>
          </w:p>
          <w:p w14:paraId="0F357064" w14:textId="77777777" w:rsidR="00454631" w:rsidRPr="00454631" w:rsidRDefault="00454631" w:rsidP="004546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1F785410" w14:textId="77777777" w:rsidR="00454631" w:rsidRDefault="00454631" w:rsidP="0045463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5463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Complex Error Resolution</w:t>
            </w:r>
            <w:r w:rsidRPr="0045463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: Identifying and correcting errors across systems can be complex and </w:t>
            </w:r>
            <w:proofErr w:type="gramStart"/>
            <w:r w:rsidRPr="00454631">
              <w:rPr>
                <w:rFonts w:asciiTheme="minorHAnsi" w:eastAsiaTheme="minorHAnsi" w:hAnsiTheme="minorHAnsi" w:cstheme="minorBidi"/>
                <w:sz w:val="22"/>
                <w:szCs w:val="22"/>
              </w:rPr>
              <w:t>resource-intensive</w:t>
            </w:r>
            <w:proofErr w:type="gramEnd"/>
            <w:r w:rsidRPr="00454631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  <w:p w14:paraId="1BD815D5" w14:textId="77777777" w:rsidR="00454631" w:rsidRPr="00454631" w:rsidRDefault="00454631" w:rsidP="004546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663D9F9C" w14:textId="77777777" w:rsidR="00454631" w:rsidRDefault="00454631" w:rsidP="0045463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5463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Inadequate Reporting</w:t>
            </w:r>
            <w:r w:rsidRPr="00454631">
              <w:rPr>
                <w:rFonts w:asciiTheme="minorHAnsi" w:eastAsiaTheme="minorHAnsi" w:hAnsiTheme="minorHAnsi" w:cstheme="minorBidi"/>
                <w:sz w:val="22"/>
                <w:szCs w:val="22"/>
              </w:rPr>
              <w:t>: Limited reporting capabilities of outdated AR systems can hinder financial analysis and decision-making.</w:t>
            </w:r>
          </w:p>
          <w:p w14:paraId="6A66F4E0" w14:textId="77777777" w:rsidR="00454631" w:rsidRPr="00454631" w:rsidRDefault="00454631" w:rsidP="004546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65210D8B" w14:textId="77777777" w:rsidR="00454631" w:rsidRPr="00454631" w:rsidRDefault="00454631" w:rsidP="0045463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5463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lastRenderedPageBreak/>
              <w:t>Compliance Risks</w:t>
            </w:r>
            <w:r w:rsidRPr="00454631">
              <w:rPr>
                <w:rFonts w:asciiTheme="minorHAnsi" w:eastAsiaTheme="minorHAnsi" w:hAnsiTheme="minorHAnsi" w:cstheme="minorBidi"/>
                <w:sz w:val="22"/>
                <w:szCs w:val="22"/>
              </w:rPr>
              <w:t>: Discrepancies and delays can lead to compliance issues with financial regulations.</w:t>
            </w:r>
          </w:p>
          <w:p w14:paraId="09AB4AF4" w14:textId="77777777" w:rsidR="005E2004" w:rsidRDefault="005E2004" w:rsidP="00624552"/>
        </w:tc>
      </w:tr>
    </w:tbl>
    <w:p w14:paraId="11EB7F05" w14:textId="77777777" w:rsidR="00F73F31" w:rsidRDefault="00F73F31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024A" w14:paraId="1D3B46DD" w14:textId="77777777" w:rsidTr="007C5EEA">
        <w:tc>
          <w:tcPr>
            <w:tcW w:w="9576" w:type="dxa"/>
          </w:tcPr>
          <w:p w14:paraId="12748DC1" w14:textId="77777777" w:rsidR="00D5024A" w:rsidRPr="005E2004" w:rsidRDefault="000139E4" w:rsidP="007C5E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Process:</w:t>
            </w:r>
          </w:p>
          <w:p w14:paraId="1C6EDBAA" w14:textId="77777777" w:rsidR="00D5024A" w:rsidRDefault="00D5024A" w:rsidP="007C5EEA"/>
          <w:p w14:paraId="63EDC539" w14:textId="0BF62D49" w:rsidR="00D5024A" w:rsidRDefault="00014426" w:rsidP="007C5EEA">
            <w:r>
              <w:t>Refer to Flow Charts</w:t>
            </w:r>
          </w:p>
          <w:p w14:paraId="33B40BF3" w14:textId="77777777" w:rsidR="00D5024A" w:rsidRDefault="00D5024A" w:rsidP="007C5EEA"/>
        </w:tc>
      </w:tr>
    </w:tbl>
    <w:p w14:paraId="061A611C" w14:textId="77777777" w:rsidR="00D5024A" w:rsidRDefault="00D5024A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39E4" w14:paraId="7DC87DE5" w14:textId="77777777" w:rsidTr="007C5EEA">
        <w:tc>
          <w:tcPr>
            <w:tcW w:w="9576" w:type="dxa"/>
          </w:tcPr>
          <w:p w14:paraId="1366A554" w14:textId="7C9BCB4C" w:rsidR="000139E4" w:rsidRPr="00454631" w:rsidRDefault="000139E4" w:rsidP="007C5E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Metrics:</w:t>
            </w:r>
          </w:p>
          <w:p w14:paraId="63E13CA3" w14:textId="6F7136D0" w:rsidR="000139E4" w:rsidRDefault="00014426" w:rsidP="007C5EEA">
            <w:r>
              <w:t>Aging Reports</w:t>
            </w:r>
          </w:p>
          <w:p w14:paraId="680B6DEE" w14:textId="752A4B7A" w:rsidR="00014426" w:rsidRDefault="00AD39A0" w:rsidP="007C5EEA">
            <w:r w:rsidRPr="00AD39A0">
              <w:t>Unidentified Receipts</w:t>
            </w:r>
            <w:r>
              <w:t xml:space="preserve"> Reports</w:t>
            </w:r>
          </w:p>
          <w:p w14:paraId="52E03119" w14:textId="77777777" w:rsidR="000139E4" w:rsidRDefault="000139E4" w:rsidP="007C5EEA"/>
        </w:tc>
      </w:tr>
    </w:tbl>
    <w:p w14:paraId="0F92B706" w14:textId="77777777" w:rsidR="00D5024A" w:rsidRDefault="00D5024A" w:rsidP="00624552">
      <w:pPr>
        <w:spacing w:after="0"/>
      </w:pPr>
    </w:p>
    <w:p w14:paraId="0A842C56" w14:textId="77777777" w:rsidR="000139E4" w:rsidRDefault="000139E4" w:rsidP="006245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024A" w14:paraId="29390AF9" w14:textId="77777777" w:rsidTr="007C5EEA">
        <w:tc>
          <w:tcPr>
            <w:tcW w:w="9576" w:type="dxa"/>
          </w:tcPr>
          <w:p w14:paraId="0BA599D7" w14:textId="77777777" w:rsidR="00D5024A" w:rsidRPr="005E2004" w:rsidRDefault="00D5024A" w:rsidP="007C5E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Glossary of key terms/acronyms:</w:t>
            </w:r>
          </w:p>
          <w:p w14:paraId="6B0B823A" w14:textId="77777777" w:rsidR="00D5024A" w:rsidRDefault="00D5024A" w:rsidP="007C5EEA"/>
          <w:p w14:paraId="69794042" w14:textId="77777777" w:rsidR="0048677C" w:rsidRDefault="0048677C" w:rsidP="0048677C">
            <w:r>
              <w:t>DFS – Division of Financial Services</w:t>
            </w:r>
          </w:p>
          <w:p w14:paraId="10374100" w14:textId="7756B3A3" w:rsidR="00354372" w:rsidRDefault="00354372" w:rsidP="0048677C">
            <w:r>
              <w:t>AR – Accounts Receivable</w:t>
            </w:r>
          </w:p>
          <w:p w14:paraId="29820F83" w14:textId="7BACBD62" w:rsidR="004E04E9" w:rsidRDefault="004E04E9" w:rsidP="0048677C">
            <w:r>
              <w:t>SSC – Shared Services Center</w:t>
            </w:r>
          </w:p>
          <w:p w14:paraId="4E870908" w14:textId="72669ABB" w:rsidR="004E04E9" w:rsidRDefault="004E04E9" w:rsidP="0048677C">
            <w:r>
              <w:t>UBO – University Budget Office</w:t>
            </w:r>
          </w:p>
          <w:p w14:paraId="6BA30382" w14:textId="77777777" w:rsidR="0048677C" w:rsidRDefault="0048677C" w:rsidP="0048677C">
            <w:r>
              <w:t>KFS – Kuali Financial System</w:t>
            </w:r>
          </w:p>
          <w:p w14:paraId="67CA82C4" w14:textId="08FB3BEA" w:rsidR="0048677C" w:rsidRDefault="0048677C" w:rsidP="0048677C">
            <w:r>
              <w:t>SB – Service Billing</w:t>
            </w:r>
          </w:p>
          <w:p w14:paraId="1DAD0161" w14:textId="44D2A4FE" w:rsidR="0048677C" w:rsidRDefault="0048677C" w:rsidP="0048677C">
            <w:r>
              <w:t>IB – Internal Billing</w:t>
            </w:r>
          </w:p>
          <w:p w14:paraId="5F0792CF" w14:textId="77777777" w:rsidR="0048677C" w:rsidRDefault="0048677C" w:rsidP="0048677C">
            <w:r>
              <w:t>ACH – Automated Clearing House</w:t>
            </w:r>
          </w:p>
          <w:p w14:paraId="409807D6" w14:textId="757ABC6B" w:rsidR="0048677C" w:rsidRDefault="0048677C" w:rsidP="0048677C">
            <w:r>
              <w:t>IWD – I Want Documents</w:t>
            </w:r>
          </w:p>
          <w:p w14:paraId="23716127" w14:textId="77777777" w:rsidR="0048677C" w:rsidRDefault="0048677C" w:rsidP="0048677C">
            <w:r>
              <w:t>FTR - Financial Transaction Representatives</w:t>
            </w:r>
          </w:p>
          <w:p w14:paraId="14CB6E0B" w14:textId="413C7FAC" w:rsidR="00DF0705" w:rsidRDefault="00DF0705" w:rsidP="0048677C">
            <w:r>
              <w:t>UBIT – Unrelated Business Income Tax</w:t>
            </w:r>
          </w:p>
          <w:p w14:paraId="32029C75" w14:textId="77777777" w:rsidR="00D5024A" w:rsidRDefault="00D5024A" w:rsidP="007C5EEA"/>
        </w:tc>
      </w:tr>
    </w:tbl>
    <w:p w14:paraId="0C66BD77" w14:textId="77777777" w:rsidR="00F73F31" w:rsidRPr="00624552" w:rsidRDefault="00F73F31" w:rsidP="00624552">
      <w:pPr>
        <w:spacing w:after="0"/>
      </w:pPr>
    </w:p>
    <w:sectPr w:rsidR="00F73F31" w:rsidRPr="00624552" w:rsidSect="00F36E8F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C641" w14:textId="77777777" w:rsidR="00080143" w:rsidRDefault="00080143" w:rsidP="00624552">
      <w:pPr>
        <w:spacing w:after="0" w:line="240" w:lineRule="auto"/>
      </w:pPr>
      <w:r>
        <w:separator/>
      </w:r>
    </w:p>
  </w:endnote>
  <w:endnote w:type="continuationSeparator" w:id="0">
    <w:p w14:paraId="34AB022C" w14:textId="77777777" w:rsidR="00080143" w:rsidRDefault="00080143" w:rsidP="0062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4A64" w14:textId="77777777" w:rsidR="00D47075" w:rsidRDefault="00D47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1507" w14:textId="77777777" w:rsidR="002309A1" w:rsidRDefault="005C2D9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\* Caps \p  \* MERGEFORMAT ">
      <w:r w:rsidRPr="005C2D97">
        <w:rPr>
          <w:rFonts w:asciiTheme="majorHAnsi" w:hAnsiTheme="majorHAnsi"/>
          <w:noProof/>
        </w:rPr>
        <w:t>Document2</w:t>
      </w:r>
    </w:fldSimple>
    <w:r w:rsidR="002309A1">
      <w:rPr>
        <w:rFonts w:asciiTheme="majorHAnsi" w:hAnsiTheme="majorHAnsi"/>
      </w:rPr>
      <w:ptab w:relativeTo="margin" w:alignment="right" w:leader="none"/>
    </w:r>
    <w:r w:rsidR="002309A1">
      <w:rPr>
        <w:rFonts w:asciiTheme="majorHAnsi" w:hAnsiTheme="majorHAnsi"/>
      </w:rPr>
      <w:t xml:space="preserve">Page </w:t>
    </w:r>
    <w:r w:rsidR="0038662F">
      <w:fldChar w:fldCharType="begin"/>
    </w:r>
    <w:r w:rsidR="0038662F">
      <w:instrText xml:space="preserve"> PAGE   \* MERGEFORMAT </w:instrText>
    </w:r>
    <w:r w:rsidR="0038662F">
      <w:fldChar w:fldCharType="separate"/>
    </w:r>
    <w:r w:rsidR="00EE225E" w:rsidRPr="00EE225E">
      <w:rPr>
        <w:rFonts w:asciiTheme="majorHAnsi" w:hAnsiTheme="majorHAnsi"/>
        <w:noProof/>
      </w:rPr>
      <w:t>3</w:t>
    </w:r>
    <w:r w:rsidR="0038662F">
      <w:rPr>
        <w:rFonts w:asciiTheme="majorHAnsi" w:hAnsiTheme="majorHAnsi"/>
        <w:noProof/>
      </w:rPr>
      <w:fldChar w:fldCharType="end"/>
    </w:r>
  </w:p>
  <w:p w14:paraId="060A9566" w14:textId="77777777" w:rsidR="00624552" w:rsidRDefault="006245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361C" w14:textId="77777777" w:rsidR="00D47075" w:rsidRDefault="00D47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4F50" w14:textId="77777777" w:rsidR="00080143" w:rsidRDefault="00080143" w:rsidP="00624552">
      <w:pPr>
        <w:spacing w:after="0" w:line="240" w:lineRule="auto"/>
      </w:pPr>
      <w:r>
        <w:separator/>
      </w:r>
    </w:p>
  </w:footnote>
  <w:footnote w:type="continuationSeparator" w:id="0">
    <w:p w14:paraId="03251CCE" w14:textId="77777777" w:rsidR="00080143" w:rsidRDefault="00080143" w:rsidP="0062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B2FE" w14:textId="77777777" w:rsidR="00D47075" w:rsidRDefault="00D47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92"/>
      <w:gridCol w:w="8568"/>
    </w:tblGrid>
    <w:tr w:rsidR="00624552" w14:paraId="366F1608" w14:textId="77777777">
      <w:trPr>
        <w:trHeight w:hRule="exact" w:val="792"/>
      </w:trPr>
      <w:tc>
        <w:tcPr>
          <w:tcW w:w="792" w:type="dxa"/>
          <w:shd w:val="clear" w:color="auto" w:fill="C0504D" w:themeFill="accent2"/>
          <w:vAlign w:val="center"/>
        </w:tcPr>
        <w:p w14:paraId="4EEFBC8C" w14:textId="77777777" w:rsidR="00624552" w:rsidRDefault="0038662F">
          <w:pPr>
            <w:pStyle w:val="Foot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E225E" w:rsidRPr="00EE225E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  <w:sdt>
        <w:sdtPr>
          <w:rPr>
            <w:rFonts w:asciiTheme="majorHAnsi" w:eastAsiaTheme="majorEastAsia" w:hAnsiTheme="majorHAnsi" w:cstheme="majorBidi"/>
            <w:b/>
            <w:color w:val="0000FF"/>
            <w:sz w:val="28"/>
            <w:szCs w:val="28"/>
          </w:rPr>
          <w:alias w:val="Title"/>
          <w:id w:val="1572498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14:paraId="5E2116A8" w14:textId="69192134" w:rsidR="00624552" w:rsidRPr="00624552" w:rsidRDefault="00F22490" w:rsidP="00C83C19">
              <w:pPr>
                <w:pStyle w:val="Footer"/>
                <w:rPr>
                  <w:rFonts w:asciiTheme="majorHAnsi" w:eastAsiaTheme="majorEastAsia" w:hAnsiTheme="majorHAnsi" w:cstheme="majorBidi"/>
                  <w:b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0000FF"/>
                  <w:sz w:val="28"/>
                  <w:szCs w:val="28"/>
                </w:rPr>
                <w:t>Accounts Receivable and Billing – Process Narrative and Desktop Procedures</w:t>
              </w:r>
            </w:p>
          </w:tc>
        </w:sdtContent>
      </w:sdt>
    </w:tr>
  </w:tbl>
  <w:p w14:paraId="5EACF311" w14:textId="77777777" w:rsidR="005002F9" w:rsidRDefault="005002F9" w:rsidP="005002F9">
    <w:pPr>
      <w:pStyle w:val="Header"/>
      <w:pBdr>
        <w:bottom w:val="thinThickSmallGap" w:sz="24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4C1D" w14:textId="77777777" w:rsidR="00D47075" w:rsidRDefault="00D47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268A"/>
    <w:multiLevelType w:val="hybridMultilevel"/>
    <w:tmpl w:val="5A52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C16D6"/>
    <w:multiLevelType w:val="hybridMultilevel"/>
    <w:tmpl w:val="26002C2A"/>
    <w:lvl w:ilvl="0" w:tplc="B0AE847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869F3"/>
    <w:multiLevelType w:val="hybridMultilevel"/>
    <w:tmpl w:val="45BC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C4D3F"/>
    <w:multiLevelType w:val="hybridMultilevel"/>
    <w:tmpl w:val="8C2ABD7E"/>
    <w:lvl w:ilvl="0" w:tplc="C024B5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2676F"/>
    <w:multiLevelType w:val="multilevel"/>
    <w:tmpl w:val="B578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C1320"/>
    <w:multiLevelType w:val="hybridMultilevel"/>
    <w:tmpl w:val="BFA0F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23084">
    <w:abstractNumId w:val="5"/>
  </w:num>
  <w:num w:numId="2" w16cid:durableId="1341276216">
    <w:abstractNumId w:val="1"/>
  </w:num>
  <w:num w:numId="3" w16cid:durableId="116535382">
    <w:abstractNumId w:val="2"/>
  </w:num>
  <w:num w:numId="4" w16cid:durableId="609052764">
    <w:abstractNumId w:val="3"/>
  </w:num>
  <w:num w:numId="5" w16cid:durableId="527304638">
    <w:abstractNumId w:val="0"/>
  </w:num>
  <w:num w:numId="6" w16cid:durableId="553545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 style="mso-position-horizontal:center;mso-width-relative:margin;mso-height-relative:margin" fillcolor="none [3201]" strokecolor="none [1940]">
      <v:fill color="none [3201]" color2="none [1300]" focusposition="1" focussize="" focus="100%" type="gradient"/>
      <v:stroke color="none [1940]" weight="1pt"/>
      <v:shadow on="t" type="perspective" color="none [1604]" opacity=".5" offset="1pt" offset2="-3pt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97"/>
    <w:rsid w:val="000103D1"/>
    <w:rsid w:val="000139E4"/>
    <w:rsid w:val="00014426"/>
    <w:rsid w:val="00015543"/>
    <w:rsid w:val="000734BB"/>
    <w:rsid w:val="00073866"/>
    <w:rsid w:val="00080143"/>
    <w:rsid w:val="0009782F"/>
    <w:rsid w:val="000B4B42"/>
    <w:rsid w:val="000C0A0A"/>
    <w:rsid w:val="000C5436"/>
    <w:rsid w:val="000C71A6"/>
    <w:rsid w:val="000E572E"/>
    <w:rsid w:val="001026F2"/>
    <w:rsid w:val="00115BB6"/>
    <w:rsid w:val="00120CC1"/>
    <w:rsid w:val="00136873"/>
    <w:rsid w:val="00145F05"/>
    <w:rsid w:val="001630FB"/>
    <w:rsid w:val="00170606"/>
    <w:rsid w:val="00173498"/>
    <w:rsid w:val="001A0332"/>
    <w:rsid w:val="001A5328"/>
    <w:rsid w:val="001A5F1A"/>
    <w:rsid w:val="001B73EA"/>
    <w:rsid w:val="001C6660"/>
    <w:rsid w:val="001D45B7"/>
    <w:rsid w:val="001E706E"/>
    <w:rsid w:val="002101BB"/>
    <w:rsid w:val="00215CA8"/>
    <w:rsid w:val="00220D19"/>
    <w:rsid w:val="002309A1"/>
    <w:rsid w:val="00242EF2"/>
    <w:rsid w:val="00265A67"/>
    <w:rsid w:val="00272CB2"/>
    <w:rsid w:val="002962A2"/>
    <w:rsid w:val="002B16C7"/>
    <w:rsid w:val="002E6701"/>
    <w:rsid w:val="00311529"/>
    <w:rsid w:val="0033089E"/>
    <w:rsid w:val="00334ED1"/>
    <w:rsid w:val="00354372"/>
    <w:rsid w:val="00355220"/>
    <w:rsid w:val="00363E6A"/>
    <w:rsid w:val="0038433E"/>
    <w:rsid w:val="0038662F"/>
    <w:rsid w:val="003A7285"/>
    <w:rsid w:val="003B4637"/>
    <w:rsid w:val="003E0228"/>
    <w:rsid w:val="0042327B"/>
    <w:rsid w:val="004277FB"/>
    <w:rsid w:val="00441B57"/>
    <w:rsid w:val="00451453"/>
    <w:rsid w:val="00454033"/>
    <w:rsid w:val="00454631"/>
    <w:rsid w:val="00472101"/>
    <w:rsid w:val="004808D8"/>
    <w:rsid w:val="0048677C"/>
    <w:rsid w:val="004A3226"/>
    <w:rsid w:val="004A5408"/>
    <w:rsid w:val="004C5CE1"/>
    <w:rsid w:val="004D4D16"/>
    <w:rsid w:val="004D5A31"/>
    <w:rsid w:val="004E00EA"/>
    <w:rsid w:val="004E04E9"/>
    <w:rsid w:val="004E4A2E"/>
    <w:rsid w:val="005002F9"/>
    <w:rsid w:val="00512584"/>
    <w:rsid w:val="00520A5F"/>
    <w:rsid w:val="005433B6"/>
    <w:rsid w:val="0054346C"/>
    <w:rsid w:val="0056164A"/>
    <w:rsid w:val="00562383"/>
    <w:rsid w:val="00566BB4"/>
    <w:rsid w:val="005A0D98"/>
    <w:rsid w:val="005C2D97"/>
    <w:rsid w:val="005E2004"/>
    <w:rsid w:val="0061408D"/>
    <w:rsid w:val="00624552"/>
    <w:rsid w:val="00627BA9"/>
    <w:rsid w:val="00685290"/>
    <w:rsid w:val="006A77BF"/>
    <w:rsid w:val="006D06AB"/>
    <w:rsid w:val="007077DA"/>
    <w:rsid w:val="007167A0"/>
    <w:rsid w:val="00731F1F"/>
    <w:rsid w:val="00745FF3"/>
    <w:rsid w:val="00752DDC"/>
    <w:rsid w:val="0077792E"/>
    <w:rsid w:val="00777EC2"/>
    <w:rsid w:val="007833FE"/>
    <w:rsid w:val="007B483E"/>
    <w:rsid w:val="007B6A4F"/>
    <w:rsid w:val="007E1157"/>
    <w:rsid w:val="007E414B"/>
    <w:rsid w:val="007E4933"/>
    <w:rsid w:val="00810AF9"/>
    <w:rsid w:val="00816AF1"/>
    <w:rsid w:val="008218A5"/>
    <w:rsid w:val="0084612B"/>
    <w:rsid w:val="00851944"/>
    <w:rsid w:val="008531A5"/>
    <w:rsid w:val="0086443B"/>
    <w:rsid w:val="0087109D"/>
    <w:rsid w:val="00882823"/>
    <w:rsid w:val="008A474B"/>
    <w:rsid w:val="008C330C"/>
    <w:rsid w:val="008C47F8"/>
    <w:rsid w:val="008D5B0C"/>
    <w:rsid w:val="008F3779"/>
    <w:rsid w:val="008F58E0"/>
    <w:rsid w:val="008F58E7"/>
    <w:rsid w:val="00900AD6"/>
    <w:rsid w:val="009164D7"/>
    <w:rsid w:val="00923EEB"/>
    <w:rsid w:val="0092698E"/>
    <w:rsid w:val="0094550A"/>
    <w:rsid w:val="009C0361"/>
    <w:rsid w:val="009C17E4"/>
    <w:rsid w:val="009D064B"/>
    <w:rsid w:val="009D4845"/>
    <w:rsid w:val="009D611B"/>
    <w:rsid w:val="009F0B14"/>
    <w:rsid w:val="00A05C0F"/>
    <w:rsid w:val="00A42815"/>
    <w:rsid w:val="00A64078"/>
    <w:rsid w:val="00A74F31"/>
    <w:rsid w:val="00A8569D"/>
    <w:rsid w:val="00AB29EB"/>
    <w:rsid w:val="00AD39A0"/>
    <w:rsid w:val="00AE2B62"/>
    <w:rsid w:val="00B07ABD"/>
    <w:rsid w:val="00B1486B"/>
    <w:rsid w:val="00B22738"/>
    <w:rsid w:val="00B2373A"/>
    <w:rsid w:val="00B308DE"/>
    <w:rsid w:val="00B344DF"/>
    <w:rsid w:val="00B44E29"/>
    <w:rsid w:val="00B50532"/>
    <w:rsid w:val="00B509A1"/>
    <w:rsid w:val="00B67368"/>
    <w:rsid w:val="00B70E71"/>
    <w:rsid w:val="00BA2496"/>
    <w:rsid w:val="00BB3006"/>
    <w:rsid w:val="00BB6438"/>
    <w:rsid w:val="00BC0F87"/>
    <w:rsid w:val="00BD0057"/>
    <w:rsid w:val="00BD4C82"/>
    <w:rsid w:val="00BF0DDE"/>
    <w:rsid w:val="00C000E8"/>
    <w:rsid w:val="00C11343"/>
    <w:rsid w:val="00C5227B"/>
    <w:rsid w:val="00C72090"/>
    <w:rsid w:val="00C81E0C"/>
    <w:rsid w:val="00C83C19"/>
    <w:rsid w:val="00CB7C69"/>
    <w:rsid w:val="00CC7D84"/>
    <w:rsid w:val="00CE5983"/>
    <w:rsid w:val="00CE7077"/>
    <w:rsid w:val="00CF72BF"/>
    <w:rsid w:val="00D03659"/>
    <w:rsid w:val="00D25D6B"/>
    <w:rsid w:val="00D30EF2"/>
    <w:rsid w:val="00D37347"/>
    <w:rsid w:val="00D47075"/>
    <w:rsid w:val="00D5024A"/>
    <w:rsid w:val="00D5194C"/>
    <w:rsid w:val="00D65EAD"/>
    <w:rsid w:val="00D673EC"/>
    <w:rsid w:val="00D83BDB"/>
    <w:rsid w:val="00D9087D"/>
    <w:rsid w:val="00D94C88"/>
    <w:rsid w:val="00DA615A"/>
    <w:rsid w:val="00DB4A94"/>
    <w:rsid w:val="00DC21D4"/>
    <w:rsid w:val="00DC7F1D"/>
    <w:rsid w:val="00DD4CA5"/>
    <w:rsid w:val="00DD797A"/>
    <w:rsid w:val="00DE2F48"/>
    <w:rsid w:val="00DE48A2"/>
    <w:rsid w:val="00DF0705"/>
    <w:rsid w:val="00DF5A4B"/>
    <w:rsid w:val="00E0278D"/>
    <w:rsid w:val="00E05CEC"/>
    <w:rsid w:val="00E15410"/>
    <w:rsid w:val="00E27013"/>
    <w:rsid w:val="00E4589E"/>
    <w:rsid w:val="00E47F15"/>
    <w:rsid w:val="00E506AE"/>
    <w:rsid w:val="00E55BC7"/>
    <w:rsid w:val="00E81FCB"/>
    <w:rsid w:val="00E92C34"/>
    <w:rsid w:val="00E96CC1"/>
    <w:rsid w:val="00EC334D"/>
    <w:rsid w:val="00EE225E"/>
    <w:rsid w:val="00EF7FD4"/>
    <w:rsid w:val="00F02DC9"/>
    <w:rsid w:val="00F10B51"/>
    <w:rsid w:val="00F140A9"/>
    <w:rsid w:val="00F22490"/>
    <w:rsid w:val="00F24030"/>
    <w:rsid w:val="00F240DE"/>
    <w:rsid w:val="00F25168"/>
    <w:rsid w:val="00F36BDA"/>
    <w:rsid w:val="00F36E8F"/>
    <w:rsid w:val="00F5798E"/>
    <w:rsid w:val="00F73F31"/>
    <w:rsid w:val="00F81389"/>
    <w:rsid w:val="00F96E34"/>
    <w:rsid w:val="00FB2D41"/>
    <w:rsid w:val="00FC54EF"/>
    <w:rsid w:val="00FD21FD"/>
    <w:rsid w:val="00FD2A8D"/>
    <w:rsid w:val="00FD3161"/>
    <w:rsid w:val="00FD4EDA"/>
    <w:rsid w:val="00FE35C2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 fillcolor="none [3201]" strokecolor="none [1940]">
      <v:fill color="none [3201]" color2="none [1300]" focusposition="1" focussize="" focus="100%" type="gradient"/>
      <v:stroke color="none [1940]" weight="1pt"/>
      <v:shadow on="t" type="perspective" color="none [1604]" opacity=".5" offset="1pt" offset2="-3pt"/>
      <v:textbox style="mso-fit-shape-to-text:t"/>
    </o:shapedefaults>
    <o:shapelayout v:ext="edit">
      <o:idmap v:ext="edit" data="2"/>
    </o:shapelayout>
  </w:shapeDefaults>
  <w:decimalSymbol w:val="."/>
  <w:listSeparator w:val=","/>
  <w14:docId w14:val="5C3838FD"/>
  <w15:docId w15:val="{155D3FEE-49A0-487E-9484-F0F4E5FC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5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552"/>
  </w:style>
  <w:style w:type="paragraph" w:styleId="Footer">
    <w:name w:val="footer"/>
    <w:basedOn w:val="Normal"/>
    <w:link w:val="FooterChar"/>
    <w:uiPriority w:val="99"/>
    <w:unhideWhenUsed/>
    <w:rsid w:val="0062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552"/>
  </w:style>
  <w:style w:type="table" w:styleId="TableGrid">
    <w:name w:val="Table Grid"/>
    <w:basedOn w:val="TableNormal"/>
    <w:uiPriority w:val="59"/>
    <w:rsid w:val="006140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1">
    <w:name w:val="Style1"/>
    <w:basedOn w:val="DefaultParagraphFont"/>
    <w:uiPriority w:val="1"/>
    <w:rsid w:val="00E81FCB"/>
    <w:rPr>
      <w:color w:val="FF0000"/>
    </w:rPr>
  </w:style>
  <w:style w:type="character" w:customStyle="1" w:styleId="Style2">
    <w:name w:val="Style2"/>
    <w:basedOn w:val="DefaultParagraphFont"/>
    <w:uiPriority w:val="1"/>
    <w:rsid w:val="001E706E"/>
  </w:style>
  <w:style w:type="paragraph" w:styleId="ListParagraph">
    <w:name w:val="List Paragraph"/>
    <w:basedOn w:val="Normal"/>
    <w:uiPriority w:val="34"/>
    <w:qFormat/>
    <w:rsid w:val="004C5C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16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4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4631"/>
    <w:rPr>
      <w:b/>
      <w:bCs/>
    </w:rPr>
  </w:style>
  <w:style w:type="paragraph" w:styleId="Revision">
    <w:name w:val="Revision"/>
    <w:hidden/>
    <w:uiPriority w:val="99"/>
    <w:semiHidden/>
    <w:rsid w:val="008F58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0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41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licy.cornell.edu/sites/default/files/policy/vol3_17.pdf" TargetMode="External"/><Relationship Id="rId18" Type="http://schemas.openxmlformats.org/officeDocument/2006/relationships/hyperlink" Target="https://finance.cornell.edu/accounting/topics/accountsreceivable/interdept" TargetMode="External"/><Relationship Id="rId26" Type="http://schemas.openxmlformats.org/officeDocument/2006/relationships/hyperlink" Target="https://finance.cornell.edu/controller/internalcontrols/unitlevelactivities/monitoring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shibidp.cit.cornell.edu/idp/profile/SAML2/Redirect/SSO?execution=e1s1" TargetMode="External"/><Relationship Id="rId34" Type="http://schemas.openxmlformats.org/officeDocument/2006/relationships/hyperlink" Target="https://dbp.cornell.edu/wp-content/uploads/2016/11/Space_Fee_Policy_Approved_16_1109-1s3ykcp.pdf" TargetMode="External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finance.cornell.edu/accounting/topics/revenueclass/baddebt" TargetMode="External"/><Relationship Id="rId29" Type="http://schemas.openxmlformats.org/officeDocument/2006/relationships/hyperlink" Target="https://finance.cornell.edu/treasurer/cash-management/processing-cash-and-checks/cash-deposi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dx.cornell.edu/TDClient/218/Portal/Requests/TicketRequests/NewForm?ID=828&amp;RequestorType=Service" TargetMode="External"/><Relationship Id="rId24" Type="http://schemas.openxmlformats.org/officeDocument/2006/relationships/hyperlink" Target="https://finance.cornell.edu/controller/internalcontrols/unitlevelactivities/reconciliation" TargetMode="External"/><Relationship Id="rId32" Type="http://schemas.openxmlformats.org/officeDocument/2006/relationships/hyperlink" Target="https://finance.cornell.edu/accounting/topics/accountsreceivable/interdept" TargetMode="External"/><Relationship Id="rId37" Type="http://schemas.openxmlformats.org/officeDocument/2006/relationships/hyperlink" Target="https://finance.cornell.edu/accounting/topics/reconciliation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inance.cornell.edu/ssc/services/receivable" TargetMode="External"/><Relationship Id="rId23" Type="http://schemas.openxmlformats.org/officeDocument/2006/relationships/hyperlink" Target="https://finance.cornell.edu/controller/internalcontrols/training-and-templates" TargetMode="External"/><Relationship Id="rId28" Type="http://schemas.openxmlformats.org/officeDocument/2006/relationships/hyperlink" Target="https://dbp.cornell.edu/wp-content/uploads/2016/11/Space_Fee_Policy_Approved_16_1109-1s3ykcp.pdf" TargetMode="External"/><Relationship Id="rId36" Type="http://schemas.openxmlformats.org/officeDocument/2006/relationships/hyperlink" Target="https://finance.cornell.edu/accounting/topics/revenueclass/baddeb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finance.cornell.edu/accounting/topics/accountsreceivable/interdept/authdirect" TargetMode="External"/><Relationship Id="rId31" Type="http://schemas.openxmlformats.org/officeDocument/2006/relationships/hyperlink" Target="https://tdx.cornell.edu/TDClient/218/Portal/Requests/TicketRequests/NewForm?ID=829&amp;RequestorType=Service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y.cornell.edu/sites/default/files/vol3_22.pdf" TargetMode="External"/><Relationship Id="rId22" Type="http://schemas.openxmlformats.org/officeDocument/2006/relationships/hyperlink" Target="https://finance.cornell.edu/accounting/topics/revenueclass/baddebt" TargetMode="External"/><Relationship Id="rId27" Type="http://schemas.openxmlformats.org/officeDocument/2006/relationships/hyperlink" Target="https://tdx.cornell.edu/TDClient/213/Portal/Requests/TicketRequests/NewForm?ID=-F3UDBTB1l4_&amp;RequestorType=Service" TargetMode="External"/><Relationship Id="rId30" Type="http://schemas.openxmlformats.org/officeDocument/2006/relationships/hyperlink" Target="https://tdx.cornell.edu/TDClient/218/Portal/Requests/TicketRequests/NewForm?ID=828&amp;RequestorType=Service" TargetMode="External"/><Relationship Id="rId35" Type="http://schemas.openxmlformats.org/officeDocument/2006/relationships/hyperlink" Target="https://finance.cornell.edu/treasurer/cash-management/unidentified-receipts" TargetMode="External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tdx.cornell.edu/TDClient/218/Portal/Requests/TicketRequests/NewForm?ID=829&amp;RequestorType=Service" TargetMode="External"/><Relationship Id="rId17" Type="http://schemas.openxmlformats.org/officeDocument/2006/relationships/hyperlink" Target="https://finance.cornell.edu/accounting/topics/accountsreceivable/writeoffs" TargetMode="External"/><Relationship Id="rId25" Type="http://schemas.openxmlformats.org/officeDocument/2006/relationships/hyperlink" Target="https://finance.cornell.edu/accounting/topics/reconciliation" TargetMode="External"/><Relationship Id="rId33" Type="http://schemas.openxmlformats.org/officeDocument/2006/relationships/hyperlink" Target="https://finance.cornell.edu/sites/default/files/fp-internal-billing.pdf" TargetMode="External"/><Relationship Id="rId38" Type="http://schemas.openxmlformats.org/officeDocument/2006/relationships/hyperlink" Target="https://finance.cornell.edu/accounting/topics/accountsreceivable/writeoffs" TargetMode="External"/><Relationship Id="rId46" Type="http://schemas.openxmlformats.org/officeDocument/2006/relationships/glossaryDocument" Target="glossary/document.xml"/><Relationship Id="rId20" Type="http://schemas.openxmlformats.org/officeDocument/2006/relationships/hyperlink" Target="https://finance.cornell.edu/treasurer/cash-management/wires-ach" TargetMode="External"/><Relationship Id="rId41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c48\Downloads\unit-process-narrative-procedu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58D5F589314DE9A0FF4F407FE3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AAC1-3F6E-49BE-9F47-0D95EDED7D9B}"/>
      </w:docPartPr>
      <w:docPartBody>
        <w:p w:rsidR="00FE55B6" w:rsidRDefault="002C653A">
          <w:pPr>
            <w:pStyle w:val="8A58D5F589314DE9A0FF4F407FE3E912"/>
          </w:pPr>
          <w:r w:rsidRPr="00F46A2B">
            <w:rPr>
              <w:rStyle w:val="PlaceholderText"/>
            </w:rPr>
            <w:t>Click here to enter a date.</w:t>
          </w:r>
        </w:p>
      </w:docPartBody>
    </w:docPart>
    <w:docPart>
      <w:docPartPr>
        <w:name w:val="64506E8B1B4A4840ACCA9D7D8B7BD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5390-9EAE-4488-8E69-7B26ED063D67}"/>
      </w:docPartPr>
      <w:docPartBody>
        <w:p w:rsidR="00FE55B6" w:rsidRDefault="002C653A">
          <w:pPr>
            <w:pStyle w:val="64506E8B1B4A4840ACCA9D7D8B7BD8B9"/>
          </w:pPr>
          <w:r w:rsidRPr="00F46A2B">
            <w:rPr>
              <w:rStyle w:val="PlaceholderText"/>
            </w:rPr>
            <w:t>Click here to enter a date.</w:t>
          </w:r>
        </w:p>
      </w:docPartBody>
    </w:docPart>
    <w:docPart>
      <w:docPartPr>
        <w:name w:val="4A5E562D53034CAEB2CB07838516F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01D6-4E82-4FBD-BE01-09A07E36E1DB}"/>
      </w:docPartPr>
      <w:docPartBody>
        <w:p w:rsidR="00FE55B6" w:rsidRDefault="002C653A">
          <w:pPr>
            <w:pStyle w:val="4A5E562D53034CAEB2CB07838516FBD1"/>
          </w:pPr>
          <w:r w:rsidRPr="00F46A2B">
            <w:rPr>
              <w:rStyle w:val="PlaceholderText"/>
            </w:rPr>
            <w:t>Choose an item.</w:t>
          </w:r>
        </w:p>
      </w:docPartBody>
    </w:docPart>
    <w:docPart>
      <w:docPartPr>
        <w:name w:val="BC9B305AC83F4EEB86993DFA597F6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26B47-CFC0-4041-B70E-FF36E17EDFE5}"/>
      </w:docPartPr>
      <w:docPartBody>
        <w:p w:rsidR="00FE55B6" w:rsidRDefault="002C653A">
          <w:pPr>
            <w:pStyle w:val="BC9B305AC83F4EEB86993DFA597F64B6"/>
          </w:pPr>
          <w:r w:rsidRPr="00F46A2B">
            <w:rPr>
              <w:rStyle w:val="PlaceholderText"/>
            </w:rPr>
            <w:t>Choose an item.</w:t>
          </w:r>
        </w:p>
      </w:docPartBody>
    </w:docPart>
    <w:docPart>
      <w:docPartPr>
        <w:name w:val="31351450CB8B4DB4A9B21BAD080C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9A5EB-D396-4465-AF93-0775F1FD8987}"/>
      </w:docPartPr>
      <w:docPartBody>
        <w:p w:rsidR="00FE55B6" w:rsidRDefault="002C653A">
          <w:pPr>
            <w:pStyle w:val="31351450CB8B4DB4A9B21BAD080C947B"/>
          </w:pPr>
          <w:r w:rsidRPr="00F46A2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3A"/>
    <w:rsid w:val="000608A2"/>
    <w:rsid w:val="001026F2"/>
    <w:rsid w:val="00153BEC"/>
    <w:rsid w:val="002C653A"/>
    <w:rsid w:val="0037672C"/>
    <w:rsid w:val="003E0228"/>
    <w:rsid w:val="00451453"/>
    <w:rsid w:val="004808D8"/>
    <w:rsid w:val="004E1417"/>
    <w:rsid w:val="005F25C5"/>
    <w:rsid w:val="005F6656"/>
    <w:rsid w:val="00641328"/>
    <w:rsid w:val="006A649A"/>
    <w:rsid w:val="00711E2C"/>
    <w:rsid w:val="007167A0"/>
    <w:rsid w:val="0077792E"/>
    <w:rsid w:val="00794EFA"/>
    <w:rsid w:val="008531A5"/>
    <w:rsid w:val="0087109D"/>
    <w:rsid w:val="00885217"/>
    <w:rsid w:val="008F3779"/>
    <w:rsid w:val="009C17E4"/>
    <w:rsid w:val="00A5052A"/>
    <w:rsid w:val="00AF332E"/>
    <w:rsid w:val="00B50532"/>
    <w:rsid w:val="00B70E71"/>
    <w:rsid w:val="00BB644B"/>
    <w:rsid w:val="00BD4C82"/>
    <w:rsid w:val="00D37347"/>
    <w:rsid w:val="00DA6D10"/>
    <w:rsid w:val="00DC21D4"/>
    <w:rsid w:val="00E748E3"/>
    <w:rsid w:val="00E82653"/>
    <w:rsid w:val="00E9796E"/>
    <w:rsid w:val="00EC6197"/>
    <w:rsid w:val="00EC63C0"/>
    <w:rsid w:val="00EE619D"/>
    <w:rsid w:val="00EF5654"/>
    <w:rsid w:val="00F07014"/>
    <w:rsid w:val="00FE55B6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A58D5F589314DE9A0FF4F407FE3E912">
    <w:name w:val="8A58D5F589314DE9A0FF4F407FE3E912"/>
  </w:style>
  <w:style w:type="paragraph" w:customStyle="1" w:styleId="64506E8B1B4A4840ACCA9D7D8B7BD8B9">
    <w:name w:val="64506E8B1B4A4840ACCA9D7D8B7BD8B9"/>
  </w:style>
  <w:style w:type="paragraph" w:customStyle="1" w:styleId="4A5E562D53034CAEB2CB07838516FBD1">
    <w:name w:val="4A5E562D53034CAEB2CB07838516FBD1"/>
  </w:style>
  <w:style w:type="paragraph" w:customStyle="1" w:styleId="BC9B305AC83F4EEB86993DFA597F64B6">
    <w:name w:val="BC9B305AC83F4EEB86993DFA597F64B6"/>
  </w:style>
  <w:style w:type="paragraph" w:customStyle="1" w:styleId="31351450CB8B4DB4A9B21BAD080C947B">
    <w:name w:val="31351450CB8B4DB4A9B21BAD080C9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F010217A23745A8A168E17A512E78" ma:contentTypeVersion="8" ma:contentTypeDescription="Create a new document." ma:contentTypeScope="" ma:versionID="99ebce4c8b9523973c1f265bfc1e0bd6">
  <xsd:schema xmlns:xsd="http://www.w3.org/2001/XMLSchema" xmlns:xs="http://www.w3.org/2001/XMLSchema" xmlns:p="http://schemas.microsoft.com/office/2006/metadata/properties" xmlns:ns2="24d4d14c-524c-425c-b92f-d744b1eb5232" xmlns:ns3="901f784a-7f43-4228-adb4-a0c6f4cffd55" targetNamespace="http://schemas.microsoft.com/office/2006/metadata/properties" ma:root="true" ma:fieldsID="67edb615559c4f617a34fce22a357654" ns2:_="" ns3:_="">
    <xsd:import namespace="24d4d14c-524c-425c-b92f-d744b1eb5232"/>
    <xsd:import namespace="901f784a-7f43-4228-adb4-a0c6f4cff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ctive" minOccurs="0"/>
                <xsd:element ref="ns3:SharedWithUsers" minOccurs="0"/>
                <xsd:element ref="ns3:SharedWithDetails" minOccurs="0"/>
                <xsd:element ref="ns2:Unit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4d14c-524c-425c-b92f-d744b1eb5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ctive" ma:index="10" nillable="true" ma:displayName="Active" ma:default="1" ma:internalName="Active">
      <xsd:simpleType>
        <xsd:restriction base="dms:Boolean"/>
      </xsd:simpleType>
    </xsd:element>
    <xsd:element name="Unit" ma:index="13" nillable="true" ma:displayName="Unit" ma:internalName="Unit">
      <xsd:simpleType>
        <xsd:restriction base="dms:Text">
          <xsd:maxLength value="255"/>
        </xsd:restriction>
      </xsd:simpleType>
    </xsd:element>
    <xsd:element name="Status" ma:index="14" nillable="true" ma:displayName="Status" ma:default="In Progress" ma:format="Dropdown" ma:internalName="Status">
      <xsd:simpleType>
        <xsd:restriction base="dms:Choice">
          <xsd:enumeration value="In Progress"/>
          <xsd:enumeration value="Pending Unit Review"/>
          <xsd:enumeration value="Pending Update"/>
          <xsd:enumeration value="Approved by Un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f784a-7f43-4228-adb4-a0c6f4cff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24d4d14c-524c-425c-b92f-d744b1eb5232">true</Active>
    <Status xmlns="24d4d14c-524c-425c-b92f-d744b1eb5232">In Progress</Status>
    <Unit xmlns="24d4d14c-524c-425c-b92f-d744b1eb5232" xsi:nil="true"/>
  </documentManagement>
</p:properties>
</file>

<file path=customXml/itemProps1.xml><?xml version="1.0" encoding="utf-8"?>
<ds:datastoreItem xmlns:ds="http://schemas.openxmlformats.org/officeDocument/2006/customXml" ds:itemID="{3D551096-68E6-47EA-96CA-392794126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18F056-3C63-4EAB-8D61-2FBBE0D10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4d14c-524c-425c-b92f-d744b1eb5232"/>
    <ds:schemaRef ds:uri="901f784a-7f43-4228-adb4-a0c6f4cff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A132D-12C4-4E1A-A4B3-0714EA5D0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6805A-08D7-44F9-803B-EAB65C432C39}">
  <ds:schemaRefs>
    <ds:schemaRef ds:uri="http://schemas.microsoft.com/office/2006/metadata/properties"/>
    <ds:schemaRef ds:uri="http://schemas.microsoft.com/office/infopath/2007/PartnerControls"/>
    <ds:schemaRef ds:uri="24d4d14c-524c-425c-b92f-d744b1eb52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unit-process-narrative-procedures.dotx</Template>
  <TotalTime>1</TotalTime>
  <Pages>7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– Process Narrative and Desktop Procedures</vt:lpstr>
    </vt:vector>
  </TitlesOfParts>
  <Company/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Receivable and Billing – Process Narrative and Desktop Procedures</dc:title>
  <dc:subject/>
  <dc:creator>financialoperations@cornell.edu</dc:creator>
  <cp:keywords/>
  <dc:description/>
  <cp:lastModifiedBy>Jamie Parris</cp:lastModifiedBy>
  <cp:revision>2</cp:revision>
  <cp:lastPrinted>2008-11-28T15:47:00Z</cp:lastPrinted>
  <dcterms:created xsi:type="dcterms:W3CDTF">2025-08-27T18:23:00Z</dcterms:created>
  <dcterms:modified xsi:type="dcterms:W3CDTF">2025-08-27T18:23:00Z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0x0101003ACF010217A23745A8A168E17A512E78</vt:lpwstr>
  </property>
</Properties>
</file>